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85749AF" w14:textId="77777777" w:rsidR="000568D5" w:rsidRDefault="00A265EC" w:rsidP="000568D5">
      <w:pPr>
        <w:jc w:val="both"/>
        <w:rPr>
          <w:b/>
          <w:lang w:val="en-US"/>
        </w:rPr>
      </w:pPr>
      <w:r>
        <w:rPr>
          <w:b/>
          <w:lang w:val="en-US"/>
        </w:rPr>
        <w:t xml:space="preserve">Appendix 1 </w:t>
      </w:r>
    </w:p>
    <w:p w14:paraId="72AF64E2" w14:textId="77777777" w:rsidR="00530571" w:rsidRDefault="00530571" w:rsidP="000568D5">
      <w:pPr>
        <w:jc w:val="both"/>
        <w:rPr>
          <w:b/>
          <w:lang w:val="en-US"/>
        </w:rPr>
      </w:pPr>
    </w:p>
    <w:p w14:paraId="4DBE195A" w14:textId="46F93CE8" w:rsidR="00530571" w:rsidRPr="00530571" w:rsidRDefault="00530571" w:rsidP="000568D5">
      <w:pPr>
        <w:jc w:val="both"/>
        <w:rPr>
          <w:b/>
          <w:lang w:val="es-MX"/>
        </w:rPr>
      </w:pPr>
      <w:r w:rsidRPr="00530571">
        <w:rPr>
          <w:b/>
          <w:lang w:val="es-MX"/>
        </w:rPr>
        <w:t>Tonatiuh Barrientos Gutierrez</w:t>
      </w:r>
    </w:p>
    <w:p w14:paraId="10DF773A" w14:textId="0D99E43F" w:rsidR="00530571" w:rsidRPr="00530571" w:rsidRDefault="00530571" w:rsidP="000568D5">
      <w:pPr>
        <w:jc w:val="both"/>
        <w:rPr>
          <w:b/>
          <w:lang w:val="es-MX"/>
        </w:rPr>
      </w:pPr>
      <w:r w:rsidRPr="00530571">
        <w:rPr>
          <w:b/>
          <w:lang w:val="es-MX"/>
        </w:rPr>
        <w:t xml:space="preserve">Ana </w:t>
      </w:r>
      <w:r>
        <w:rPr>
          <w:b/>
          <w:lang w:val="es-MX"/>
        </w:rPr>
        <w:t xml:space="preserve">Basto </w:t>
      </w:r>
      <w:bookmarkStart w:id="0" w:name="_GoBack"/>
      <w:bookmarkEnd w:id="0"/>
      <w:r w:rsidRPr="00530571">
        <w:rPr>
          <w:b/>
          <w:lang w:val="es-MX"/>
        </w:rPr>
        <w:t>Abreu</w:t>
      </w:r>
      <w:r>
        <w:rPr>
          <w:b/>
          <w:lang w:val="es-MX"/>
        </w:rPr>
        <w:t xml:space="preserve"> </w:t>
      </w:r>
    </w:p>
    <w:p w14:paraId="67B27CEA" w14:textId="77777777" w:rsidR="00A265EC" w:rsidRPr="00530571" w:rsidRDefault="00A265EC" w:rsidP="000568D5">
      <w:pPr>
        <w:jc w:val="both"/>
        <w:rPr>
          <w:b/>
          <w:lang w:val="es-MX"/>
        </w:rPr>
      </w:pPr>
    </w:p>
    <w:p w14:paraId="456EFBA4" w14:textId="77777777" w:rsidR="00A265EC" w:rsidRPr="000568D5" w:rsidRDefault="00A265EC" w:rsidP="00A265EC">
      <w:pPr>
        <w:jc w:val="both"/>
        <w:rPr>
          <w:lang w:val="en-US"/>
        </w:rPr>
      </w:pPr>
      <w:r>
        <w:rPr>
          <w:lang w:val="en-US"/>
        </w:rPr>
        <w:t xml:space="preserve">In the </w:t>
      </w:r>
      <w:r w:rsidRPr="000568D5">
        <w:rPr>
          <w:lang w:val="en-US"/>
        </w:rPr>
        <w:t>National Health a</w:t>
      </w:r>
      <w:r>
        <w:rPr>
          <w:lang w:val="en-US"/>
        </w:rPr>
        <w:t>nd Nutrition Survey 2012 (ENSANUT</w:t>
      </w:r>
      <w:r w:rsidR="00C30F85">
        <w:rPr>
          <w:lang w:val="en-US"/>
        </w:rPr>
        <w:t>-2012</w:t>
      </w:r>
      <w:r>
        <w:rPr>
          <w:lang w:val="en-US"/>
        </w:rPr>
        <w:t>), we observed a</w:t>
      </w:r>
      <w:r w:rsidR="00C30F85">
        <w:rPr>
          <w:lang w:val="en-US"/>
        </w:rPr>
        <w:t>n</w:t>
      </w:r>
      <w:r>
        <w:rPr>
          <w:lang w:val="en-US"/>
        </w:rPr>
        <w:t xml:space="preserve"> </w:t>
      </w:r>
      <w:r w:rsidR="00C30F85">
        <w:rPr>
          <w:lang w:val="en-US"/>
        </w:rPr>
        <w:t xml:space="preserve">11.25 mg/dl </w:t>
      </w:r>
      <w:r>
        <w:rPr>
          <w:lang w:val="en-US"/>
        </w:rPr>
        <w:t xml:space="preserve">decrease in </w:t>
      </w:r>
      <w:r w:rsidR="00C30F85">
        <w:rPr>
          <w:lang w:val="en-US"/>
        </w:rPr>
        <w:t xml:space="preserve">the concentration of </w:t>
      </w:r>
      <w:r>
        <w:rPr>
          <w:lang w:val="en-US"/>
        </w:rPr>
        <w:t xml:space="preserve">glucose </w:t>
      </w:r>
      <w:r w:rsidR="00C30F85">
        <w:rPr>
          <w:lang w:val="en-US"/>
        </w:rPr>
        <w:t>in comparison with 2006. This difference represented</w:t>
      </w:r>
      <w:r>
        <w:rPr>
          <w:lang w:val="en-US"/>
        </w:rPr>
        <w:t xml:space="preserve"> a reduction in undiagnosed cases of diabetes from 7.1% </w:t>
      </w:r>
      <w:r w:rsidR="00C30F85">
        <w:rPr>
          <w:lang w:val="en-US"/>
        </w:rPr>
        <w:t xml:space="preserve">in 2006 </w:t>
      </w:r>
      <w:r>
        <w:rPr>
          <w:lang w:val="en-US"/>
        </w:rPr>
        <w:t xml:space="preserve">to 3.6% </w:t>
      </w:r>
      <w:r w:rsidR="00C30F85">
        <w:rPr>
          <w:lang w:val="en-US"/>
        </w:rPr>
        <w:t>in 2012</w:t>
      </w:r>
      <w:r w:rsidR="00660941">
        <w:rPr>
          <w:lang w:val="en-US"/>
        </w:rPr>
        <w:t>,</w:t>
      </w:r>
      <w:r w:rsidR="00C30F85">
        <w:rPr>
          <w:lang w:val="en-US"/>
        </w:rPr>
        <w:t xml:space="preserve"> </w:t>
      </w:r>
      <w:r>
        <w:rPr>
          <w:lang w:val="en-US"/>
        </w:rPr>
        <w:t xml:space="preserve">and </w:t>
      </w:r>
      <w:r w:rsidR="00C02E12">
        <w:rPr>
          <w:lang w:val="en-US"/>
        </w:rPr>
        <w:t xml:space="preserve">a reduction of </w:t>
      </w:r>
      <w:r>
        <w:rPr>
          <w:lang w:val="en-US"/>
        </w:rPr>
        <w:t>impaired fasting glucose (IFG) from</w:t>
      </w:r>
      <w:r w:rsidRPr="000568D5">
        <w:rPr>
          <w:lang w:val="en-US"/>
        </w:rPr>
        <w:t xml:space="preserve"> 19.0%</w:t>
      </w:r>
      <w:r w:rsidR="00C30F85">
        <w:rPr>
          <w:lang w:val="en-US"/>
        </w:rPr>
        <w:t xml:space="preserve"> in 2006</w:t>
      </w:r>
      <w:r w:rsidRPr="000568D5">
        <w:rPr>
          <w:lang w:val="en-US"/>
        </w:rPr>
        <w:t xml:space="preserve"> </w:t>
      </w:r>
      <w:r>
        <w:rPr>
          <w:lang w:val="en-US"/>
        </w:rPr>
        <w:t>to</w:t>
      </w:r>
      <w:r w:rsidRPr="000568D5">
        <w:rPr>
          <w:lang w:val="en-US"/>
        </w:rPr>
        <w:t xml:space="preserve"> 8.2% </w:t>
      </w:r>
      <w:r w:rsidR="00C30F85">
        <w:rPr>
          <w:lang w:val="en-US"/>
        </w:rPr>
        <w:t>in</w:t>
      </w:r>
      <w:r w:rsidR="00DD5A50">
        <w:rPr>
          <w:lang w:val="en-US"/>
        </w:rPr>
        <w:t xml:space="preserve"> </w:t>
      </w:r>
      <w:r w:rsidRPr="000568D5">
        <w:rPr>
          <w:lang w:val="en-US"/>
        </w:rPr>
        <w:t>2012</w:t>
      </w:r>
      <w:r>
        <w:rPr>
          <w:lang w:val="en-US"/>
        </w:rPr>
        <w:t>.</w:t>
      </w:r>
    </w:p>
    <w:p w14:paraId="4DB8AC3A" w14:textId="77777777" w:rsidR="00A265EC" w:rsidRDefault="00A265EC" w:rsidP="000568D5">
      <w:pPr>
        <w:jc w:val="both"/>
        <w:rPr>
          <w:lang w:val="en-US"/>
        </w:rPr>
      </w:pPr>
    </w:p>
    <w:p w14:paraId="40B40B41" w14:textId="2A5A9A9A" w:rsidR="006258FB" w:rsidRDefault="00C30F85" w:rsidP="000568D5">
      <w:pPr>
        <w:jc w:val="both"/>
        <w:rPr>
          <w:lang w:val="en-US"/>
        </w:rPr>
      </w:pPr>
      <w:r>
        <w:rPr>
          <w:lang w:val="en-US"/>
        </w:rPr>
        <w:t>An 11.25 mg/dl reduction was considered to</w:t>
      </w:r>
      <w:r w:rsidR="00660941">
        <w:rPr>
          <w:lang w:val="en-US"/>
        </w:rPr>
        <w:t>o</w:t>
      </w:r>
      <w:r>
        <w:rPr>
          <w:lang w:val="en-US"/>
        </w:rPr>
        <w:t xml:space="preserve"> high to be plausible. Still, w</w:t>
      </w:r>
      <w:r w:rsidR="0000331E">
        <w:rPr>
          <w:lang w:val="en-US"/>
        </w:rPr>
        <w:t xml:space="preserve">e explored the possibility that </w:t>
      </w:r>
      <w:r w:rsidR="00DD5A50">
        <w:rPr>
          <w:lang w:val="en-US"/>
        </w:rPr>
        <w:t xml:space="preserve">glucose </w:t>
      </w:r>
      <w:r w:rsidR="0000331E">
        <w:rPr>
          <w:lang w:val="en-US"/>
        </w:rPr>
        <w:t xml:space="preserve">changes could be </w:t>
      </w:r>
      <w:r w:rsidR="00DD5A50">
        <w:rPr>
          <w:lang w:val="en-US"/>
        </w:rPr>
        <w:t xml:space="preserve">explained </w:t>
      </w:r>
      <w:r w:rsidR="0000331E">
        <w:rPr>
          <w:lang w:val="en-US"/>
        </w:rPr>
        <w:t>by changes in risk factors</w:t>
      </w:r>
      <w:r w:rsidR="005E71C2">
        <w:rPr>
          <w:lang w:val="en-US"/>
        </w:rPr>
        <w:t xml:space="preserve"> between 2006 and 2012</w:t>
      </w:r>
      <w:r w:rsidR="0000331E">
        <w:rPr>
          <w:lang w:val="en-US"/>
        </w:rPr>
        <w:t xml:space="preserve">. </w:t>
      </w:r>
      <w:r>
        <w:rPr>
          <w:lang w:val="en-US"/>
        </w:rPr>
        <w:t>L</w:t>
      </w:r>
      <w:r w:rsidR="00A265EC">
        <w:rPr>
          <w:lang w:val="en-US"/>
        </w:rPr>
        <w:t>inear regression model</w:t>
      </w:r>
      <w:r>
        <w:rPr>
          <w:lang w:val="en-US"/>
        </w:rPr>
        <w:t>s</w:t>
      </w:r>
      <w:r w:rsidR="00A265EC">
        <w:rPr>
          <w:lang w:val="en-US"/>
        </w:rPr>
        <w:t xml:space="preserve"> with glucose as depend</w:t>
      </w:r>
      <w:r w:rsidR="008E1F69">
        <w:rPr>
          <w:lang w:val="en-US"/>
        </w:rPr>
        <w:t>ent</w:t>
      </w:r>
      <w:r w:rsidR="00A265EC">
        <w:rPr>
          <w:lang w:val="en-US"/>
        </w:rPr>
        <w:t xml:space="preserve"> variable and survey </w:t>
      </w:r>
      <w:r w:rsidR="005E71C2">
        <w:rPr>
          <w:lang w:val="en-US"/>
        </w:rPr>
        <w:t>wave</w:t>
      </w:r>
      <w:r w:rsidR="00A265EC">
        <w:rPr>
          <w:lang w:val="en-US"/>
        </w:rPr>
        <w:t xml:space="preserve"> as independent variable</w:t>
      </w:r>
      <w:r w:rsidR="00AE0890">
        <w:rPr>
          <w:lang w:val="en-US"/>
        </w:rPr>
        <w:t xml:space="preserve"> were fit</w:t>
      </w:r>
      <w:r>
        <w:rPr>
          <w:lang w:val="en-US"/>
        </w:rPr>
        <w:t xml:space="preserve">, adjusting for </w:t>
      </w:r>
      <w:r w:rsidR="006258FB" w:rsidRPr="006258FB">
        <w:rPr>
          <w:lang w:val="en-US"/>
        </w:rPr>
        <w:t>age, body mass index</w:t>
      </w:r>
      <w:r>
        <w:rPr>
          <w:lang w:val="en-US"/>
        </w:rPr>
        <w:t xml:space="preserve">, </w:t>
      </w:r>
      <w:r w:rsidR="006258FB" w:rsidRPr="006258FB">
        <w:rPr>
          <w:lang w:val="en-US"/>
        </w:rPr>
        <w:t>area of residence (urban or rural),</w:t>
      </w:r>
      <w:r>
        <w:rPr>
          <w:lang w:val="en-US"/>
        </w:rPr>
        <w:t xml:space="preserve"> and</w:t>
      </w:r>
      <w:r w:rsidR="006258FB" w:rsidRPr="006258FB">
        <w:rPr>
          <w:lang w:val="en-US"/>
        </w:rPr>
        <w:t xml:space="preserve"> insulin and </w:t>
      </w:r>
      <w:r w:rsidR="00F07C49">
        <w:rPr>
          <w:lang w:val="en-US"/>
        </w:rPr>
        <w:t>hypoglycemic</w:t>
      </w:r>
      <w:r w:rsidR="006258FB">
        <w:rPr>
          <w:lang w:val="en-US"/>
        </w:rPr>
        <w:t xml:space="preserve"> </w:t>
      </w:r>
      <w:r w:rsidR="006A6F71">
        <w:rPr>
          <w:lang w:val="en-US"/>
        </w:rPr>
        <w:t>drug</w:t>
      </w:r>
      <w:r>
        <w:rPr>
          <w:lang w:val="en-US"/>
        </w:rPr>
        <w:t xml:space="preserve"> use</w:t>
      </w:r>
      <w:r w:rsidR="006258FB" w:rsidRPr="006258FB">
        <w:rPr>
          <w:lang w:val="en-US"/>
        </w:rPr>
        <w:t xml:space="preserve">. </w:t>
      </w:r>
      <w:r>
        <w:rPr>
          <w:lang w:val="en-US"/>
        </w:rPr>
        <w:t xml:space="preserve">Differences between survey </w:t>
      </w:r>
      <w:r w:rsidR="005E71C2">
        <w:rPr>
          <w:lang w:val="en-US"/>
        </w:rPr>
        <w:t>waves</w:t>
      </w:r>
      <w:r>
        <w:rPr>
          <w:lang w:val="en-US"/>
        </w:rPr>
        <w:t xml:space="preserve"> remained after adjustment</w:t>
      </w:r>
      <w:r w:rsidR="00B0752F">
        <w:rPr>
          <w:lang w:val="en-US"/>
        </w:rPr>
        <w:t xml:space="preserve">, </w:t>
      </w:r>
      <w:r w:rsidR="006A6F71">
        <w:rPr>
          <w:lang w:val="en-US"/>
        </w:rPr>
        <w:t>concluding that</w:t>
      </w:r>
      <w:r>
        <w:rPr>
          <w:lang w:val="en-US"/>
        </w:rPr>
        <w:t xml:space="preserve"> </w:t>
      </w:r>
      <w:r w:rsidR="006258FB" w:rsidRPr="006258FB">
        <w:rPr>
          <w:lang w:val="en-US"/>
        </w:rPr>
        <w:t>dif</w:t>
      </w:r>
      <w:r w:rsidR="002204C5">
        <w:rPr>
          <w:lang w:val="en-US"/>
        </w:rPr>
        <w:t>ference</w:t>
      </w:r>
      <w:r w:rsidR="00A265EC">
        <w:rPr>
          <w:lang w:val="en-US"/>
        </w:rPr>
        <w:t>s</w:t>
      </w:r>
      <w:r w:rsidR="002204C5">
        <w:rPr>
          <w:lang w:val="en-US"/>
        </w:rPr>
        <w:t xml:space="preserve"> between 2006 and 2012 </w:t>
      </w:r>
      <w:r>
        <w:rPr>
          <w:lang w:val="en-US"/>
        </w:rPr>
        <w:t>were not attributable to differences in main risk factors. An increase in diabetes mortality was also considered a possibility, but it was quickly discarded after comparing the incidence and mortality rates, which in no way could produce a reduction in prevalent cases.</w:t>
      </w:r>
      <w:r w:rsidR="00DD5A50">
        <w:rPr>
          <w:lang w:val="en-US"/>
        </w:rPr>
        <w:t xml:space="preserve"> </w:t>
      </w:r>
      <w:r>
        <w:rPr>
          <w:lang w:val="en-US"/>
        </w:rPr>
        <w:t xml:space="preserve">After discarding potential causal </w:t>
      </w:r>
      <w:r w:rsidR="006A6F71">
        <w:rPr>
          <w:lang w:val="en-US"/>
        </w:rPr>
        <w:t>explanations for the difference</w:t>
      </w:r>
      <w:r w:rsidR="005E71C2">
        <w:rPr>
          <w:lang w:val="en-US"/>
        </w:rPr>
        <w:t xml:space="preserve"> between 2006 and 2012</w:t>
      </w:r>
      <w:r>
        <w:rPr>
          <w:lang w:val="en-US"/>
        </w:rPr>
        <w:t xml:space="preserve"> we considered the possibility of measurement bias.</w:t>
      </w:r>
    </w:p>
    <w:p w14:paraId="5620A2D0" w14:textId="77777777" w:rsidR="00F07C49" w:rsidRDefault="00F07C49" w:rsidP="000568D5">
      <w:pPr>
        <w:jc w:val="both"/>
        <w:rPr>
          <w:lang w:val="en-US"/>
        </w:rPr>
      </w:pPr>
    </w:p>
    <w:p w14:paraId="3D12FC79" w14:textId="77777777" w:rsidR="00901CC1" w:rsidRDefault="007B1676" w:rsidP="00F07C49">
      <w:pPr>
        <w:jc w:val="both"/>
        <w:rPr>
          <w:lang w:val="en-US"/>
        </w:rPr>
      </w:pPr>
      <w:r>
        <w:rPr>
          <w:lang w:val="en-US"/>
        </w:rPr>
        <w:t>A thorough review of all procedures was conducted to detect critical steps in which plasma glucose quantitation could have been affected. Three steps were considered critical: fasting time prior to drawing blood, invalid quantitation at the laboratory, and degradation of glucose due to glycolysis prior to the separation of plasma. N</w:t>
      </w:r>
      <w:r w:rsidR="002204C5">
        <w:rPr>
          <w:lang w:val="en-US"/>
        </w:rPr>
        <w:t xml:space="preserve">o </w:t>
      </w:r>
      <w:r w:rsidR="007C0A35">
        <w:rPr>
          <w:lang w:val="en-US"/>
        </w:rPr>
        <w:t xml:space="preserve">significant </w:t>
      </w:r>
      <w:r w:rsidR="002204C5">
        <w:rPr>
          <w:lang w:val="en-US"/>
        </w:rPr>
        <w:t xml:space="preserve">difference </w:t>
      </w:r>
      <w:r>
        <w:rPr>
          <w:lang w:val="en-US"/>
        </w:rPr>
        <w:t xml:space="preserve">in fasting time </w:t>
      </w:r>
      <w:r w:rsidR="002204C5">
        <w:rPr>
          <w:lang w:val="en-US"/>
        </w:rPr>
        <w:t xml:space="preserve">between survey waves </w:t>
      </w:r>
      <w:r w:rsidR="001471FD">
        <w:rPr>
          <w:lang w:val="en-US"/>
        </w:rPr>
        <w:t>was</w:t>
      </w:r>
      <w:r w:rsidR="002204C5">
        <w:rPr>
          <w:lang w:val="en-US"/>
        </w:rPr>
        <w:t xml:space="preserve"> observed. </w:t>
      </w:r>
      <w:r>
        <w:rPr>
          <w:lang w:val="en-US"/>
        </w:rPr>
        <w:t xml:space="preserve">Available plasma samples from the ENSANUT 2012 were measured again in an independent laboratory, to eliminate the possibility of a laboratory error in measurement; no differences between laboratories were detected. </w:t>
      </w:r>
      <w:r w:rsidR="00901CC1" w:rsidRPr="00901CC1">
        <w:rPr>
          <w:lang w:val="en-US"/>
        </w:rPr>
        <w:t xml:space="preserve">In the absence of differences in </w:t>
      </w:r>
      <w:r>
        <w:rPr>
          <w:lang w:val="en-US"/>
        </w:rPr>
        <w:t xml:space="preserve">these two </w:t>
      </w:r>
      <w:r w:rsidR="00C02E12">
        <w:rPr>
          <w:lang w:val="en-US"/>
        </w:rPr>
        <w:t>analyse</w:t>
      </w:r>
      <w:r w:rsidR="004739F6">
        <w:rPr>
          <w:lang w:val="en-US"/>
        </w:rPr>
        <w:t>s</w:t>
      </w:r>
      <w:r w:rsidR="00901CC1" w:rsidRPr="00901CC1">
        <w:rPr>
          <w:lang w:val="en-US"/>
        </w:rPr>
        <w:t xml:space="preserve">, the most plausible hypothesis </w:t>
      </w:r>
      <w:r w:rsidR="00901CC1">
        <w:rPr>
          <w:lang w:val="en-US"/>
        </w:rPr>
        <w:t>was</w:t>
      </w:r>
      <w:r w:rsidR="00901CC1" w:rsidRPr="00901CC1">
        <w:rPr>
          <w:lang w:val="en-US"/>
        </w:rPr>
        <w:t xml:space="preserve"> degradation of samples</w:t>
      </w:r>
      <w:r w:rsidR="00901CC1">
        <w:rPr>
          <w:lang w:val="en-US"/>
        </w:rPr>
        <w:t xml:space="preserve"> during </w:t>
      </w:r>
      <w:r>
        <w:rPr>
          <w:lang w:val="en-US"/>
        </w:rPr>
        <w:t>field</w:t>
      </w:r>
      <w:r w:rsidR="00901CC1">
        <w:rPr>
          <w:lang w:val="en-US"/>
        </w:rPr>
        <w:t xml:space="preserve"> collection</w:t>
      </w:r>
      <w:r w:rsidR="009C2E85">
        <w:rPr>
          <w:lang w:val="en-US"/>
        </w:rPr>
        <w:t>. Glucose degrad</w:t>
      </w:r>
      <w:r w:rsidR="0000331E">
        <w:rPr>
          <w:lang w:val="en-US"/>
        </w:rPr>
        <w:t>e</w:t>
      </w:r>
      <w:r w:rsidR="00901CC1" w:rsidRPr="00901CC1">
        <w:rPr>
          <w:lang w:val="en-US"/>
        </w:rPr>
        <w:t xml:space="preserve">s rapidly in the tube if the </w:t>
      </w:r>
      <w:r w:rsidR="00901CC1">
        <w:rPr>
          <w:lang w:val="en-US"/>
        </w:rPr>
        <w:t>intra</w:t>
      </w:r>
      <w:r w:rsidR="00901CC1" w:rsidRPr="00901CC1">
        <w:rPr>
          <w:lang w:val="en-US"/>
        </w:rPr>
        <w:t>cellular elements ar</w:t>
      </w:r>
      <w:r w:rsidR="00901CC1">
        <w:rPr>
          <w:lang w:val="en-US"/>
        </w:rPr>
        <w:t>e not separated from the blood.</w:t>
      </w:r>
      <w:r w:rsidR="00DD5A50">
        <w:rPr>
          <w:lang w:val="en-US"/>
        </w:rPr>
        <w:fldChar w:fldCharType="begin" w:fldLock="1"/>
      </w:r>
      <w:r w:rsidR="00DD5A50">
        <w:rPr>
          <w:lang w:val="en-US"/>
        </w:rPr>
        <w:instrText>ADDIN CSL_CITATION { "citationItems" : [ { "id" : "ITEM-1", "itemData" : { "DOI" : "10.1373/clinchem.2009.126037", "ISSN" : "0009-9147", "author" : [ { "dropping-particle" : "", "family" : "Bruns", "given" : "David E", "non-dropping-particle" : "", "parse-names" : false, "suffix" : "" }, { "dropping-particle" : "", "family" : "Knowler", "given" : "William C", "non-dropping-particle" : "", "parse-names" : false, "suffix" : "" } ], "container-title" : "Clinical chemistry", "id" : "ITEM-1", "issue" : "5", "issued" : { "date-parts" : [ [ "2009", "5", "12" ] ] }, "page" : "850-852", "title" : "Stabilization of Glucose in Blood Samples: Why It Matters", "type" : "article-journal", "volume" : "55" }, "uris" : [ "http://www.mendeley.com/documents/?uuid=56e90f61-fd18-42a5-a649-8c6bcaa7636d" ] } ], "mendeley" : { "formattedCitation" : "(1)", "plainTextFormattedCitation" : "(1)", "previouslyFormattedCitation" : "(1)" }, "properties" : { "noteIndex" : 0 }, "schema" : "https://github.com/citation-style-language/schema/raw/master/csl-citation.json" }</w:instrText>
      </w:r>
      <w:r w:rsidR="00DD5A50">
        <w:rPr>
          <w:lang w:val="en-US"/>
        </w:rPr>
        <w:fldChar w:fldCharType="separate"/>
      </w:r>
      <w:r w:rsidR="00DD5A50" w:rsidRPr="00DD5A50">
        <w:rPr>
          <w:noProof/>
          <w:lang w:val="en-US"/>
        </w:rPr>
        <w:t>(1)</w:t>
      </w:r>
      <w:r w:rsidR="00DD5A50">
        <w:rPr>
          <w:lang w:val="en-US"/>
        </w:rPr>
        <w:fldChar w:fldCharType="end"/>
      </w:r>
      <w:r w:rsidR="00DD5A50">
        <w:rPr>
          <w:lang w:val="en-US"/>
        </w:rPr>
        <w:t xml:space="preserve"> </w:t>
      </w:r>
      <w:r>
        <w:rPr>
          <w:lang w:val="en-US"/>
        </w:rPr>
        <w:t xml:space="preserve">While ENSANUT protocols are strict, field conditions are challenging and delays in the time until whole blood tubes were centrifuged could have been prolonged, leading to sample degradation. </w:t>
      </w:r>
    </w:p>
    <w:p w14:paraId="1C6C91EA" w14:textId="77777777" w:rsidR="00BB7788" w:rsidRDefault="00BB7788" w:rsidP="00901CC1">
      <w:pPr>
        <w:jc w:val="both"/>
        <w:rPr>
          <w:lang w:val="en-US"/>
        </w:rPr>
      </w:pPr>
    </w:p>
    <w:p w14:paraId="0C267D53" w14:textId="77777777" w:rsidR="00BB7788" w:rsidRDefault="007B1676" w:rsidP="00901CC1">
      <w:pPr>
        <w:jc w:val="both"/>
        <w:rPr>
          <w:lang w:val="en-US"/>
        </w:rPr>
      </w:pPr>
      <w:r>
        <w:rPr>
          <w:lang w:val="en-US"/>
        </w:rPr>
        <w:t xml:space="preserve">Assuming that sample degradation was the mechanism, we further assumed that degradation times have been distributed randomly </w:t>
      </w:r>
      <w:r w:rsidR="00066763">
        <w:rPr>
          <w:lang w:val="en-US"/>
        </w:rPr>
        <w:t>across</w:t>
      </w:r>
      <w:r>
        <w:rPr>
          <w:lang w:val="en-US"/>
        </w:rPr>
        <w:t xml:space="preserve"> ENSANUT participants. </w:t>
      </w:r>
      <w:r w:rsidR="00182035">
        <w:rPr>
          <w:lang w:val="en-US"/>
        </w:rPr>
        <w:t xml:space="preserve">To </w:t>
      </w:r>
      <w:r>
        <w:rPr>
          <w:lang w:val="en-US"/>
        </w:rPr>
        <w:t>estimate the</w:t>
      </w:r>
      <w:r w:rsidR="00402156">
        <w:rPr>
          <w:lang w:val="en-US"/>
        </w:rPr>
        <w:t xml:space="preserve"> magnitude of the</w:t>
      </w:r>
      <w:r>
        <w:rPr>
          <w:lang w:val="en-US"/>
        </w:rPr>
        <w:t xml:space="preserve"> </w:t>
      </w:r>
      <w:r w:rsidR="00182035">
        <w:rPr>
          <w:lang w:val="en-US"/>
        </w:rPr>
        <w:t>bias,</w:t>
      </w:r>
      <w:r w:rsidR="008A7D1A">
        <w:rPr>
          <w:lang w:val="en-US"/>
        </w:rPr>
        <w:t xml:space="preserve"> we </w:t>
      </w:r>
      <w:r w:rsidR="00402156">
        <w:rPr>
          <w:lang w:val="en-US"/>
        </w:rPr>
        <w:t xml:space="preserve">identified the </w:t>
      </w:r>
      <w:r w:rsidR="007304BF">
        <w:rPr>
          <w:lang w:val="en-US"/>
        </w:rPr>
        <w:t>subgroup of the</w:t>
      </w:r>
      <w:r w:rsidR="001471FD">
        <w:rPr>
          <w:lang w:val="en-US"/>
        </w:rPr>
        <w:t xml:space="preserve"> </w:t>
      </w:r>
      <w:r w:rsidR="00402156">
        <w:rPr>
          <w:lang w:val="en-US"/>
        </w:rPr>
        <w:t xml:space="preserve">adult </w:t>
      </w:r>
      <w:r w:rsidR="001471FD">
        <w:rPr>
          <w:lang w:val="en-US"/>
        </w:rPr>
        <w:t xml:space="preserve">population less susceptible </w:t>
      </w:r>
      <w:r w:rsidR="00066763">
        <w:rPr>
          <w:lang w:val="en-US"/>
        </w:rPr>
        <w:t>to</w:t>
      </w:r>
      <w:r w:rsidR="001471FD">
        <w:rPr>
          <w:lang w:val="en-US"/>
        </w:rPr>
        <w:t xml:space="preserve"> </w:t>
      </w:r>
      <w:r w:rsidR="00911F79">
        <w:rPr>
          <w:lang w:val="en-US"/>
        </w:rPr>
        <w:t xml:space="preserve">glucose </w:t>
      </w:r>
      <w:r w:rsidR="00402156">
        <w:rPr>
          <w:lang w:val="en-US"/>
        </w:rPr>
        <w:t xml:space="preserve">changes between </w:t>
      </w:r>
      <w:r w:rsidR="00911F79">
        <w:rPr>
          <w:lang w:val="en-US"/>
        </w:rPr>
        <w:t xml:space="preserve">2006 </w:t>
      </w:r>
      <w:r w:rsidR="00402156">
        <w:rPr>
          <w:lang w:val="en-US"/>
        </w:rPr>
        <w:t>and</w:t>
      </w:r>
      <w:r w:rsidR="00911F79">
        <w:rPr>
          <w:lang w:val="en-US"/>
        </w:rPr>
        <w:t xml:space="preserve"> 2012</w:t>
      </w:r>
      <w:r w:rsidR="00402156">
        <w:rPr>
          <w:lang w:val="en-US"/>
        </w:rPr>
        <w:t xml:space="preserve">, that is, </w:t>
      </w:r>
      <w:r w:rsidR="002204C5">
        <w:rPr>
          <w:lang w:val="en-US"/>
        </w:rPr>
        <w:t>adults with no previous diagnosis of diabetes</w:t>
      </w:r>
      <w:r w:rsidR="00402156">
        <w:rPr>
          <w:lang w:val="en-US"/>
        </w:rPr>
        <w:t xml:space="preserve"> (and no use of </w:t>
      </w:r>
      <w:r w:rsidR="00066763">
        <w:rPr>
          <w:lang w:val="en-US"/>
        </w:rPr>
        <w:t>insulin/</w:t>
      </w:r>
      <w:r w:rsidR="00D13420">
        <w:rPr>
          <w:lang w:val="en-US"/>
        </w:rPr>
        <w:t>hypo</w:t>
      </w:r>
      <w:r w:rsidR="00066763">
        <w:rPr>
          <w:lang w:val="en-US"/>
        </w:rPr>
        <w:t>g</w:t>
      </w:r>
      <w:r w:rsidR="00D13420">
        <w:rPr>
          <w:lang w:val="en-US"/>
        </w:rPr>
        <w:t>l</w:t>
      </w:r>
      <w:r w:rsidR="00066763">
        <w:rPr>
          <w:lang w:val="en-US"/>
        </w:rPr>
        <w:t xml:space="preserve">ycemics) </w:t>
      </w:r>
      <w:r w:rsidR="00402156">
        <w:rPr>
          <w:lang w:val="en-US"/>
        </w:rPr>
        <w:t xml:space="preserve">and under 50 years of age, as they are </w:t>
      </w:r>
      <w:r w:rsidR="00066763">
        <w:rPr>
          <w:lang w:val="en-US"/>
        </w:rPr>
        <w:t>less</w:t>
      </w:r>
      <w:r w:rsidR="00402156">
        <w:rPr>
          <w:lang w:val="en-US"/>
        </w:rPr>
        <w:t xml:space="preserve"> targeted by preventive measures that could lead to glucose reductions</w:t>
      </w:r>
      <w:r w:rsidR="00BB7788">
        <w:rPr>
          <w:lang w:val="en-US"/>
        </w:rPr>
        <w:t xml:space="preserve">. </w:t>
      </w:r>
      <w:r w:rsidR="00D13420">
        <w:rPr>
          <w:lang w:val="en-US"/>
        </w:rPr>
        <w:t>Within this group, w</w:t>
      </w:r>
      <w:r w:rsidR="004739F6">
        <w:rPr>
          <w:lang w:val="en-US"/>
        </w:rPr>
        <w:t>e expected to fin</w:t>
      </w:r>
      <w:r w:rsidR="001471FD">
        <w:rPr>
          <w:lang w:val="en-US"/>
        </w:rPr>
        <w:t>d</w:t>
      </w:r>
      <w:r w:rsidR="004739F6">
        <w:rPr>
          <w:lang w:val="en-US"/>
        </w:rPr>
        <w:t xml:space="preserve"> no significant </w:t>
      </w:r>
      <w:r w:rsidR="00485452">
        <w:rPr>
          <w:lang w:val="en-US"/>
        </w:rPr>
        <w:t>differences between 2006 and 2012</w:t>
      </w:r>
      <w:r w:rsidR="00D13420">
        <w:rPr>
          <w:lang w:val="en-US"/>
        </w:rPr>
        <w:t>; i</w:t>
      </w:r>
      <w:r w:rsidR="00485452">
        <w:rPr>
          <w:lang w:val="en-US"/>
        </w:rPr>
        <w:t xml:space="preserve">f observed, the difference would have to be attributable to bias, </w:t>
      </w:r>
      <w:r w:rsidR="00AE3385">
        <w:rPr>
          <w:lang w:val="en-US"/>
        </w:rPr>
        <w:t>assuming that</w:t>
      </w:r>
      <w:r w:rsidR="00D13420">
        <w:rPr>
          <w:lang w:val="en-US"/>
        </w:rPr>
        <w:t xml:space="preserve"> the</w:t>
      </w:r>
      <w:r w:rsidR="00485452" w:rsidRPr="00901CC1">
        <w:rPr>
          <w:lang w:val="en-US"/>
        </w:rPr>
        <w:t xml:space="preserve"> 2006 survey </w:t>
      </w:r>
      <w:r w:rsidR="00D13420">
        <w:rPr>
          <w:lang w:val="en-US"/>
        </w:rPr>
        <w:t>is unbiased</w:t>
      </w:r>
      <w:r w:rsidR="00485452" w:rsidRPr="00901CC1">
        <w:rPr>
          <w:lang w:val="en-US"/>
        </w:rPr>
        <w:t xml:space="preserve"> and that the population parameter </w:t>
      </w:r>
      <w:r w:rsidR="00D13420">
        <w:rPr>
          <w:lang w:val="en-US"/>
        </w:rPr>
        <w:t xml:space="preserve">in this group </w:t>
      </w:r>
      <w:r w:rsidR="00485452" w:rsidRPr="00901CC1">
        <w:rPr>
          <w:lang w:val="en-US"/>
        </w:rPr>
        <w:t>did not change</w:t>
      </w:r>
      <w:r w:rsidR="00D13420">
        <w:rPr>
          <w:lang w:val="en-US"/>
        </w:rPr>
        <w:t xml:space="preserve"> by other reasons</w:t>
      </w:r>
      <w:r w:rsidR="00485452" w:rsidRPr="00901CC1">
        <w:rPr>
          <w:lang w:val="en-US"/>
        </w:rPr>
        <w:t xml:space="preserve"> between 2006 and 2012.</w:t>
      </w:r>
      <w:r w:rsidR="00485452">
        <w:rPr>
          <w:lang w:val="en-US"/>
        </w:rPr>
        <w:t xml:space="preserve"> </w:t>
      </w:r>
    </w:p>
    <w:p w14:paraId="3BA29F49" w14:textId="77777777" w:rsidR="00BB7788" w:rsidRDefault="00BB7788" w:rsidP="00901CC1">
      <w:pPr>
        <w:jc w:val="both"/>
        <w:rPr>
          <w:lang w:val="en-US"/>
        </w:rPr>
      </w:pPr>
    </w:p>
    <w:p w14:paraId="68C58DF5" w14:textId="77777777" w:rsidR="00EE490A" w:rsidRDefault="00485452" w:rsidP="00EE490A">
      <w:pPr>
        <w:jc w:val="both"/>
        <w:rPr>
          <w:lang w:val="en-US"/>
        </w:rPr>
      </w:pPr>
      <w:r>
        <w:rPr>
          <w:lang w:val="en-US"/>
        </w:rPr>
        <w:lastRenderedPageBreak/>
        <w:t xml:space="preserve">Figure 1 </w:t>
      </w:r>
      <w:r w:rsidRPr="00901CC1">
        <w:rPr>
          <w:lang w:val="en-US"/>
        </w:rPr>
        <w:t xml:space="preserve">shows the differences in glucose by age group between 2006 and 2012 in the population </w:t>
      </w:r>
      <w:r w:rsidR="00BB7788">
        <w:rPr>
          <w:lang w:val="en-US"/>
        </w:rPr>
        <w:t>with no previous diagnosis of</w:t>
      </w:r>
      <w:r w:rsidRPr="00901CC1">
        <w:rPr>
          <w:lang w:val="en-US"/>
        </w:rPr>
        <w:t xml:space="preserve"> diabetes.</w:t>
      </w:r>
      <w:r w:rsidR="00BB7788">
        <w:rPr>
          <w:lang w:val="en-US"/>
        </w:rPr>
        <w:t xml:space="preserve"> </w:t>
      </w:r>
      <w:r w:rsidR="00EE490A" w:rsidRPr="00901CC1">
        <w:rPr>
          <w:lang w:val="en-US"/>
        </w:rPr>
        <w:t xml:space="preserve">In </w:t>
      </w:r>
      <w:r w:rsidR="00EE490A">
        <w:rPr>
          <w:lang w:val="en-US"/>
        </w:rPr>
        <w:t>the age-groups under 50 years old</w:t>
      </w:r>
      <w:r w:rsidR="00EE490A" w:rsidRPr="00901CC1">
        <w:rPr>
          <w:lang w:val="en-US"/>
        </w:rPr>
        <w:t xml:space="preserve"> </w:t>
      </w:r>
      <w:r w:rsidR="00EE490A">
        <w:rPr>
          <w:lang w:val="en-US"/>
        </w:rPr>
        <w:t>we found</w:t>
      </w:r>
      <w:r w:rsidR="00EE490A" w:rsidRPr="00901CC1">
        <w:rPr>
          <w:lang w:val="en-US"/>
        </w:rPr>
        <w:t xml:space="preserve"> a stable difference (channel of bias) between 2006 and 2012.</w:t>
      </w:r>
      <w:r w:rsidR="00EE490A" w:rsidRPr="004739F6">
        <w:rPr>
          <w:lang w:val="en-US"/>
        </w:rPr>
        <w:t> </w:t>
      </w:r>
      <w:r w:rsidR="00EE490A">
        <w:rPr>
          <w:lang w:val="en-US"/>
        </w:rPr>
        <w:t xml:space="preserve">After 50 years old, the channel bias gets bigger, which may be </w:t>
      </w:r>
      <w:r w:rsidR="00EE490A" w:rsidRPr="00901CC1">
        <w:rPr>
          <w:lang w:val="en-US"/>
        </w:rPr>
        <w:t xml:space="preserve">associated with preventive measures </w:t>
      </w:r>
      <w:r w:rsidR="00EE490A">
        <w:rPr>
          <w:lang w:val="en-US"/>
        </w:rPr>
        <w:t>for adults with</w:t>
      </w:r>
      <w:r w:rsidR="00EE490A" w:rsidRPr="00901CC1">
        <w:rPr>
          <w:lang w:val="en-US"/>
        </w:rPr>
        <w:t xml:space="preserve"> diabetes.</w:t>
      </w:r>
      <w:r w:rsidR="00EE490A" w:rsidRPr="004739F6">
        <w:rPr>
          <w:lang w:val="en-US"/>
        </w:rPr>
        <w:t> </w:t>
      </w:r>
      <w:r w:rsidR="00EE490A" w:rsidRPr="00901CC1">
        <w:rPr>
          <w:lang w:val="en-US"/>
        </w:rPr>
        <w:t xml:space="preserve">The difference in glucose between 2006 and 2012 for those under 50 </w:t>
      </w:r>
      <w:r w:rsidR="00EE490A">
        <w:rPr>
          <w:lang w:val="en-US"/>
        </w:rPr>
        <w:t>with no previous diagnosis of diabetes</w:t>
      </w:r>
      <w:r w:rsidR="00EE490A" w:rsidRPr="00901CC1">
        <w:rPr>
          <w:lang w:val="en-US"/>
        </w:rPr>
        <w:t xml:space="preserve"> </w:t>
      </w:r>
      <w:r w:rsidR="00EE490A">
        <w:rPr>
          <w:lang w:val="en-US"/>
        </w:rPr>
        <w:t>was 9.56 mg/</w:t>
      </w:r>
      <w:r w:rsidR="00EE490A" w:rsidRPr="00901CC1">
        <w:rPr>
          <w:lang w:val="en-US"/>
        </w:rPr>
        <w:t>d</w:t>
      </w:r>
      <w:r w:rsidR="00EE490A">
        <w:rPr>
          <w:lang w:val="en-US"/>
        </w:rPr>
        <w:t>l, and was proposed as a correction factor to be applied to the whole adult population.</w:t>
      </w:r>
    </w:p>
    <w:p w14:paraId="7DE3D30E" w14:textId="77777777" w:rsidR="00901CC1" w:rsidRDefault="00901CC1" w:rsidP="00901CC1">
      <w:pPr>
        <w:jc w:val="both"/>
        <w:rPr>
          <w:lang w:val="en-US"/>
        </w:rPr>
      </w:pPr>
    </w:p>
    <w:p w14:paraId="2824C53C" w14:textId="77777777" w:rsidR="00F07C49" w:rsidRPr="002204C5" w:rsidRDefault="00405A01" w:rsidP="00F07C49">
      <w:pPr>
        <w:jc w:val="both"/>
        <w:rPr>
          <w:rFonts w:ascii="Arial" w:eastAsia="Times New Roman" w:hAnsi="Arial" w:cs="Arial"/>
          <w:color w:val="222222"/>
          <w:lang w:val="en"/>
        </w:rPr>
      </w:pPr>
      <w:r>
        <w:rPr>
          <w:noProof/>
          <w:lang w:val="es-MX" w:eastAsia="es-MX"/>
        </w:rPr>
        <w:drawing>
          <wp:inline distT="0" distB="0" distL="0" distR="0" wp14:anchorId="0082B0DD" wp14:editId="30C7C403">
            <wp:extent cx="5372235" cy="2760140"/>
            <wp:effectExtent l="0" t="0" r="0" b="8890"/>
            <wp:docPr id="1" name="Gráfico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8"/>
              </a:graphicData>
            </a:graphic>
          </wp:inline>
        </w:drawing>
      </w:r>
    </w:p>
    <w:p w14:paraId="25AF6019" w14:textId="77777777" w:rsidR="00AE3385" w:rsidRDefault="00AE3385" w:rsidP="002204C5">
      <w:pPr>
        <w:jc w:val="both"/>
        <w:rPr>
          <w:lang w:val="en-US"/>
        </w:rPr>
      </w:pPr>
    </w:p>
    <w:p w14:paraId="540655A1" w14:textId="77777777" w:rsidR="00C04951" w:rsidRDefault="00FC5B31" w:rsidP="002204C5">
      <w:pPr>
        <w:jc w:val="both"/>
        <w:rPr>
          <w:lang w:val="en-US"/>
        </w:rPr>
      </w:pPr>
      <w:r w:rsidRPr="00FC5B31">
        <w:rPr>
          <w:lang w:val="en-US"/>
        </w:rPr>
        <w:t>To corroborate the</w:t>
      </w:r>
      <w:r w:rsidR="00EE490A">
        <w:rPr>
          <w:lang w:val="en-US"/>
        </w:rPr>
        <w:t xml:space="preserve"> impact of the correction against </w:t>
      </w:r>
      <w:r w:rsidR="004739F6">
        <w:rPr>
          <w:lang w:val="en-US"/>
        </w:rPr>
        <w:t>an external source, we used</w:t>
      </w:r>
      <w:r w:rsidRPr="00FC5B31">
        <w:rPr>
          <w:lang w:val="en-US"/>
        </w:rPr>
        <w:t xml:space="preserve"> </w:t>
      </w:r>
      <w:r w:rsidR="00EE490A">
        <w:rPr>
          <w:lang w:val="en-US"/>
        </w:rPr>
        <w:t xml:space="preserve">the 2015 </w:t>
      </w:r>
      <w:r w:rsidRPr="00FC5B31">
        <w:rPr>
          <w:lang w:val="en-US"/>
        </w:rPr>
        <w:t>Mexico City (CDMX)</w:t>
      </w:r>
      <w:r>
        <w:rPr>
          <w:lang w:val="en-US"/>
        </w:rPr>
        <w:t xml:space="preserve"> survey </w:t>
      </w:r>
      <w:r w:rsidR="004739F6">
        <w:rPr>
          <w:lang w:val="en-US"/>
        </w:rPr>
        <w:t>(</w:t>
      </w:r>
      <w:r w:rsidR="00171CCF">
        <w:rPr>
          <w:lang w:val="en-US"/>
        </w:rPr>
        <w:t xml:space="preserve">table 1). </w:t>
      </w:r>
      <w:r w:rsidR="00AE3385">
        <w:rPr>
          <w:lang w:val="en-US"/>
        </w:rPr>
        <w:t>To compare both surveys,</w:t>
      </w:r>
      <w:r w:rsidR="00171CCF">
        <w:rPr>
          <w:lang w:val="en-US"/>
        </w:rPr>
        <w:t xml:space="preserve"> we selected from ENSANUT adults </w:t>
      </w:r>
      <w:r w:rsidR="00AE3385">
        <w:rPr>
          <w:lang w:val="en-US"/>
        </w:rPr>
        <w:t>between 20-69 years old, living</w:t>
      </w:r>
      <w:r w:rsidR="00171CCF">
        <w:rPr>
          <w:lang w:val="en-US"/>
        </w:rPr>
        <w:t xml:space="preserve"> in Mexico City.  </w:t>
      </w:r>
      <w:r w:rsidR="00AE3385">
        <w:rPr>
          <w:lang w:val="en-US"/>
        </w:rPr>
        <w:t xml:space="preserve">We found that </w:t>
      </w:r>
      <w:r w:rsidR="00EE490A">
        <w:rPr>
          <w:lang w:val="en-US"/>
        </w:rPr>
        <w:t xml:space="preserve">the </w:t>
      </w:r>
      <w:r w:rsidR="00AE3385">
        <w:rPr>
          <w:lang w:val="en-US"/>
        </w:rPr>
        <w:t xml:space="preserve">prevalence from </w:t>
      </w:r>
      <w:r w:rsidR="00AE3385" w:rsidRPr="00FC5B31">
        <w:rPr>
          <w:lang w:val="en-US"/>
        </w:rPr>
        <w:t>CDMX</w:t>
      </w:r>
      <w:r w:rsidR="00AE3385">
        <w:rPr>
          <w:lang w:val="en-US"/>
        </w:rPr>
        <w:t xml:space="preserve"> survey </w:t>
      </w:r>
      <w:r w:rsidR="00EE490A">
        <w:rPr>
          <w:lang w:val="en-US"/>
        </w:rPr>
        <w:t>was</w:t>
      </w:r>
      <w:r w:rsidR="00AE3385">
        <w:rPr>
          <w:lang w:val="en-US"/>
        </w:rPr>
        <w:t xml:space="preserve"> si</w:t>
      </w:r>
      <w:r w:rsidR="00EE490A">
        <w:rPr>
          <w:lang w:val="en-US"/>
        </w:rPr>
        <w:t>milar to the ENSANUT prevalence</w:t>
      </w:r>
      <w:r w:rsidR="00AE3385">
        <w:rPr>
          <w:lang w:val="en-US"/>
        </w:rPr>
        <w:t xml:space="preserve"> after correcti</w:t>
      </w:r>
      <w:r w:rsidR="00EE490A">
        <w:rPr>
          <w:lang w:val="en-US"/>
        </w:rPr>
        <w:t>ng glucose concentrations, but significantly different to the uncorrected dataset.</w:t>
      </w:r>
      <w:r w:rsidR="00AE3385">
        <w:rPr>
          <w:lang w:val="en-US"/>
        </w:rPr>
        <w:t xml:space="preserve"> </w:t>
      </w:r>
    </w:p>
    <w:p w14:paraId="120FE452" w14:textId="77777777" w:rsidR="00FC5B31" w:rsidRDefault="00FC5B31" w:rsidP="002204C5">
      <w:pPr>
        <w:jc w:val="both"/>
        <w:rPr>
          <w:lang w:val="en-US"/>
        </w:rPr>
      </w:pPr>
    </w:p>
    <w:p w14:paraId="06B6E7AC" w14:textId="77777777" w:rsidR="00FC5B31" w:rsidRPr="00C04951" w:rsidRDefault="00C04951" w:rsidP="00FC5B31">
      <w:pPr>
        <w:spacing w:after="200"/>
        <w:jc w:val="both"/>
        <w:rPr>
          <w:lang w:val="en-US"/>
        </w:rPr>
      </w:pPr>
      <w:r w:rsidRPr="0060571A">
        <w:rPr>
          <w:i/>
          <w:sz w:val="18"/>
          <w:szCs w:val="18"/>
          <w:lang w:val="en-US"/>
        </w:rPr>
        <w:t>Table</w:t>
      </w:r>
      <w:r w:rsidR="00171CCF">
        <w:rPr>
          <w:i/>
          <w:sz w:val="18"/>
          <w:szCs w:val="18"/>
          <w:lang w:val="en-US"/>
        </w:rPr>
        <w:t xml:space="preserve"> 1</w:t>
      </w:r>
      <w:r w:rsidR="00FC5B31" w:rsidRPr="0060571A">
        <w:rPr>
          <w:i/>
          <w:sz w:val="18"/>
          <w:szCs w:val="18"/>
          <w:lang w:val="en-US"/>
        </w:rPr>
        <w:t xml:space="preserve">. </w:t>
      </w:r>
      <w:r w:rsidRPr="00C04951">
        <w:rPr>
          <w:i/>
          <w:sz w:val="18"/>
          <w:szCs w:val="18"/>
          <w:lang w:val="en-US"/>
        </w:rPr>
        <w:t>Glucose and diabetes prevalence in CDMX survey, ENSANUT 2012 not corrected and 2012 corrected. restricting</w:t>
      </w:r>
      <w:r w:rsidR="00FC5B31" w:rsidRPr="00C04951">
        <w:rPr>
          <w:i/>
          <w:sz w:val="18"/>
          <w:szCs w:val="18"/>
          <w:lang w:val="en-US"/>
        </w:rPr>
        <w:t xml:space="preserve"> </w:t>
      </w:r>
      <w:r w:rsidRPr="00C04951">
        <w:rPr>
          <w:i/>
          <w:sz w:val="18"/>
          <w:szCs w:val="18"/>
          <w:lang w:val="en-US"/>
        </w:rPr>
        <w:t>the sample Mexico City</w:t>
      </w:r>
      <w:r>
        <w:rPr>
          <w:i/>
          <w:sz w:val="18"/>
          <w:szCs w:val="18"/>
          <w:lang w:val="en-US"/>
        </w:rPr>
        <w:t xml:space="preserve"> with adults from 20-69 years</w:t>
      </w:r>
      <w:r w:rsidR="00FC5B31" w:rsidRPr="00C04951">
        <w:rPr>
          <w:i/>
          <w:sz w:val="18"/>
          <w:szCs w:val="18"/>
          <w:lang w:val="en-US"/>
        </w:rPr>
        <w:t>.</w:t>
      </w:r>
    </w:p>
    <w:tbl>
      <w:tblPr>
        <w:tblW w:w="9300" w:type="dxa"/>
        <w:tblInd w:w="8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970"/>
        <w:gridCol w:w="2070"/>
        <w:gridCol w:w="1980"/>
        <w:gridCol w:w="2280"/>
      </w:tblGrid>
      <w:tr w:rsidR="00FC5B31" w14:paraId="65F1C5FB" w14:textId="77777777" w:rsidTr="00C30F85">
        <w:tc>
          <w:tcPr>
            <w:tcW w:w="297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31E268B5" w14:textId="77777777" w:rsidR="00FC5B31" w:rsidRPr="00C04951" w:rsidRDefault="00FC5B31" w:rsidP="00C30F85">
            <w:pPr>
              <w:jc w:val="both"/>
              <w:rPr>
                <w:lang w:val="en-US"/>
              </w:rPr>
            </w:pPr>
          </w:p>
        </w:tc>
        <w:tc>
          <w:tcPr>
            <w:tcW w:w="207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5D7BC92" w14:textId="77777777" w:rsidR="00FC5B31" w:rsidRDefault="00FC5B31" w:rsidP="00FC5B31">
            <w:pPr>
              <w:jc w:val="center"/>
            </w:pPr>
            <w:r>
              <w:rPr>
                <w:sz w:val="20"/>
                <w:szCs w:val="20"/>
              </w:rPr>
              <w:t xml:space="preserve">CDMX </w:t>
            </w:r>
            <w:r w:rsidR="00A46B3E">
              <w:rPr>
                <w:sz w:val="20"/>
                <w:szCs w:val="20"/>
              </w:rPr>
              <w:t>SURVEY</w:t>
            </w:r>
            <w:r>
              <w:rPr>
                <w:sz w:val="20"/>
                <w:szCs w:val="20"/>
              </w:rPr>
              <w:t>2015 (N=1334)</w:t>
            </w:r>
          </w:p>
        </w:tc>
        <w:tc>
          <w:tcPr>
            <w:tcW w:w="198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506A1E8E" w14:textId="77777777" w:rsidR="00FC5B31" w:rsidRDefault="00A46B3E" w:rsidP="00FC5B31">
            <w:pPr>
              <w:jc w:val="center"/>
            </w:pPr>
            <w:r>
              <w:rPr>
                <w:color w:val="444444"/>
                <w:sz w:val="20"/>
                <w:szCs w:val="20"/>
                <w:lang w:val="en-US"/>
              </w:rPr>
              <w:t xml:space="preserve">ENSANUT </w:t>
            </w:r>
            <w:r w:rsidR="00FC5B31" w:rsidRPr="00FC5B31">
              <w:rPr>
                <w:sz w:val="20"/>
                <w:szCs w:val="20"/>
                <w:lang w:val="en-US"/>
              </w:rPr>
              <w:t>2012 no</w:t>
            </w:r>
            <w:r w:rsidR="00FC5B31">
              <w:rPr>
                <w:sz w:val="20"/>
                <w:szCs w:val="20"/>
                <w:lang w:val="en-US"/>
              </w:rPr>
              <w:t>t corrected</w:t>
            </w:r>
            <w:r w:rsidR="00FC5B31">
              <w:rPr>
                <w:color w:val="444444"/>
                <w:sz w:val="20"/>
                <w:szCs w:val="20"/>
              </w:rPr>
              <w:t xml:space="preserve"> (N=131)</w:t>
            </w:r>
          </w:p>
        </w:tc>
        <w:tc>
          <w:tcPr>
            <w:tcW w:w="2280" w:type="dxa"/>
            <w:tcBorders>
              <w:top w:val="single" w:sz="8" w:space="0" w:color="000000"/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12230E8C" w14:textId="77777777" w:rsidR="00FC5B31" w:rsidRDefault="00A46B3E" w:rsidP="00FC5B31">
            <w:pPr>
              <w:jc w:val="center"/>
            </w:pPr>
            <w:r>
              <w:rPr>
                <w:color w:val="444444"/>
                <w:sz w:val="20"/>
                <w:szCs w:val="20"/>
                <w:lang w:val="en-US"/>
              </w:rPr>
              <w:t xml:space="preserve">ENSANUT </w:t>
            </w:r>
            <w:r w:rsidR="00FC5B31" w:rsidRPr="00FC5B31">
              <w:rPr>
                <w:color w:val="444444"/>
                <w:sz w:val="20"/>
                <w:szCs w:val="20"/>
                <w:lang w:val="en-US"/>
              </w:rPr>
              <w:t xml:space="preserve">2012 </w:t>
            </w:r>
            <w:r w:rsidR="00FC5B31" w:rsidRPr="00FC5B31">
              <w:rPr>
                <w:color w:val="444444"/>
                <w:sz w:val="20"/>
                <w:szCs w:val="20"/>
                <w:lang w:val="en-US"/>
              </w:rPr>
              <w:br/>
              <w:t xml:space="preserve">corrected </w:t>
            </w:r>
            <w:r w:rsidR="00FC5B31">
              <w:rPr>
                <w:sz w:val="20"/>
                <w:szCs w:val="20"/>
              </w:rPr>
              <w:t>(N=131)</w:t>
            </w:r>
          </w:p>
        </w:tc>
      </w:tr>
      <w:tr w:rsidR="00FC5B31" w14:paraId="4B9BB791" w14:textId="77777777" w:rsidTr="00C30F85">
        <w:tc>
          <w:tcPr>
            <w:tcW w:w="2970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7452613" w14:textId="77777777" w:rsidR="00FC5B31" w:rsidRDefault="00AE3385" w:rsidP="00FC5B31">
            <w:pPr>
              <w:jc w:val="right"/>
            </w:pPr>
            <w:r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Glucose (mg/dl</w:t>
            </w:r>
            <w:r w:rsidR="00FC5B31" w:rsidRPr="00FC5B31"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)</w:t>
            </w:r>
          </w:p>
        </w:tc>
        <w:tc>
          <w:tcPr>
            <w:tcW w:w="20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02D24BFF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103.3 (100.7, 105.8)</w:t>
            </w:r>
          </w:p>
        </w:tc>
        <w:tc>
          <w:tcPr>
            <w:tcW w:w="19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58BA25BD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94.7 (86.5,102.9)</w:t>
            </w:r>
          </w:p>
        </w:tc>
        <w:tc>
          <w:tcPr>
            <w:tcW w:w="22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7846B507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104.2 (96.1, 112.4)</w:t>
            </w:r>
          </w:p>
        </w:tc>
      </w:tr>
      <w:tr w:rsidR="00FC5B31" w14:paraId="6EEA0DC2" w14:textId="77777777" w:rsidTr="00C30F85">
        <w:tc>
          <w:tcPr>
            <w:tcW w:w="2970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FDE106A" w14:textId="77777777" w:rsidR="00FC5B31" w:rsidRDefault="00FC5B31" w:rsidP="00FC5B31">
            <w:pPr>
              <w:jc w:val="right"/>
            </w:pPr>
            <w:r w:rsidRPr="00FC5B31"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Undiagnosed diabetes (%)</w:t>
            </w:r>
          </w:p>
        </w:tc>
        <w:tc>
          <w:tcPr>
            <w:tcW w:w="20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75288B12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3.3 (2.5, 4.4)</w:t>
            </w:r>
          </w:p>
        </w:tc>
        <w:tc>
          <w:tcPr>
            <w:tcW w:w="19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2F6C2634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2.7 (0.6, 12.0)</w:t>
            </w:r>
          </w:p>
        </w:tc>
        <w:tc>
          <w:tcPr>
            <w:tcW w:w="22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63026BAF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2.7 (0.6, 11.9)</w:t>
            </w:r>
          </w:p>
        </w:tc>
      </w:tr>
      <w:tr w:rsidR="00FC5B31" w14:paraId="451CEE31" w14:textId="77777777" w:rsidTr="00C30F85">
        <w:tc>
          <w:tcPr>
            <w:tcW w:w="2970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241ECEFA" w14:textId="77777777" w:rsidR="00FC5B31" w:rsidRDefault="00FC5B31" w:rsidP="00FC5B31">
            <w:pPr>
              <w:jc w:val="right"/>
            </w:pPr>
            <w:r w:rsidRPr="00FC5B31"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Diagnosed diabetes (%)</w:t>
            </w:r>
          </w:p>
        </w:tc>
        <w:tc>
          <w:tcPr>
            <w:tcW w:w="20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4CF71E44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9.0 (8.8, 9.1)</w:t>
            </w:r>
          </w:p>
        </w:tc>
        <w:tc>
          <w:tcPr>
            <w:tcW w:w="19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3F51018D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9.7 (5.4, 16.7)</w:t>
            </w:r>
          </w:p>
        </w:tc>
        <w:tc>
          <w:tcPr>
            <w:tcW w:w="22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21B558D0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9.7 (5.4, 16.7)</w:t>
            </w:r>
          </w:p>
        </w:tc>
      </w:tr>
      <w:tr w:rsidR="00FC5B31" w14:paraId="20A79BA7" w14:textId="77777777" w:rsidTr="00C30F85">
        <w:tc>
          <w:tcPr>
            <w:tcW w:w="2970" w:type="dxa"/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01EAA459" w14:textId="77777777" w:rsidR="00FC5B31" w:rsidRDefault="00FC5B31" w:rsidP="00FC5B31">
            <w:pPr>
              <w:jc w:val="right"/>
            </w:pPr>
            <w:r w:rsidRPr="00FC5B31"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Total diabetes (%)</w:t>
            </w:r>
          </w:p>
        </w:tc>
        <w:tc>
          <w:tcPr>
            <w:tcW w:w="207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21AF95F1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12.2 (11.4, 15.4)</w:t>
            </w:r>
          </w:p>
        </w:tc>
        <w:tc>
          <w:tcPr>
            <w:tcW w:w="19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68180D73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12.3 (6.2, 23.0)</w:t>
            </w:r>
          </w:p>
        </w:tc>
        <w:tc>
          <w:tcPr>
            <w:tcW w:w="2280" w:type="dxa"/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7DC8EFE2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12.3 (6.3, 22.9)</w:t>
            </w:r>
          </w:p>
        </w:tc>
      </w:tr>
      <w:tr w:rsidR="00FC5B31" w14:paraId="61A488FE" w14:textId="77777777" w:rsidTr="00C30F85">
        <w:tc>
          <w:tcPr>
            <w:tcW w:w="2970" w:type="dxa"/>
            <w:tcBorders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</w:tcPr>
          <w:p w14:paraId="590B1488" w14:textId="77777777" w:rsidR="00FC5B31" w:rsidRDefault="00FC5B31" w:rsidP="00FC5B31">
            <w:pPr>
              <w:jc w:val="right"/>
            </w:pPr>
            <w:r w:rsidRPr="00FC5B31">
              <w:rPr>
                <w:rFonts w:ascii="Calibri" w:eastAsia="Trebuchet MS" w:hAnsi="Calibri" w:cs="Trebuchet MS"/>
                <w:i/>
                <w:sz w:val="20"/>
                <w:szCs w:val="20"/>
                <w:lang w:val="en-US"/>
              </w:rPr>
              <w:t>Impaired glucose tolerance (%)</w:t>
            </w:r>
          </w:p>
        </w:tc>
        <w:tc>
          <w:tcPr>
            <w:tcW w:w="2070" w:type="dxa"/>
            <w:tcBorders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191F8E75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17.6 (14.9, 20.6)</w:t>
            </w:r>
          </w:p>
        </w:tc>
        <w:tc>
          <w:tcPr>
            <w:tcW w:w="1980" w:type="dxa"/>
            <w:tcBorders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6AA8EB4E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7.5 (2.5, 19.8)</w:t>
            </w:r>
          </w:p>
        </w:tc>
        <w:tc>
          <w:tcPr>
            <w:tcW w:w="2280" w:type="dxa"/>
            <w:tcBorders>
              <w:bottom w:val="single" w:sz="8" w:space="0" w:color="000000"/>
            </w:tcBorders>
            <w:tcMar>
              <w:top w:w="100" w:type="dxa"/>
              <w:left w:w="80" w:type="dxa"/>
              <w:bottom w:w="100" w:type="dxa"/>
              <w:right w:w="80" w:type="dxa"/>
            </w:tcMar>
            <w:vAlign w:val="bottom"/>
          </w:tcPr>
          <w:p w14:paraId="6D57F024" w14:textId="77777777" w:rsidR="00FC5B31" w:rsidRDefault="00FC5B31" w:rsidP="00FC5B31">
            <w:pPr>
              <w:jc w:val="center"/>
              <w:rPr>
                <w:rFonts w:asciiTheme="majorHAnsi" w:eastAsiaTheme="majorEastAsia" w:hAnsiTheme="majorHAnsi" w:cstheme="majorBidi"/>
                <w:color w:val="404040" w:themeColor="text1" w:themeTint="BF"/>
                <w:sz w:val="20"/>
                <w:szCs w:val="20"/>
              </w:rPr>
            </w:pPr>
            <w:r>
              <w:rPr>
                <w:sz w:val="20"/>
                <w:szCs w:val="20"/>
              </w:rPr>
              <w:t>27.7 (17.9, 40.2)</w:t>
            </w:r>
          </w:p>
        </w:tc>
      </w:tr>
    </w:tbl>
    <w:p w14:paraId="0028521E" w14:textId="77777777" w:rsidR="00FC5B31" w:rsidRDefault="00FC5B31" w:rsidP="002204C5">
      <w:pPr>
        <w:jc w:val="both"/>
        <w:rPr>
          <w:lang w:val="en-US"/>
        </w:rPr>
      </w:pPr>
    </w:p>
    <w:p w14:paraId="25E2F435" w14:textId="77777777" w:rsidR="00C04951" w:rsidRPr="00DD5A50" w:rsidRDefault="00DD5A50" w:rsidP="002204C5">
      <w:pPr>
        <w:jc w:val="both"/>
        <w:rPr>
          <w:b/>
          <w:lang w:val="en-US"/>
        </w:rPr>
      </w:pPr>
      <w:r w:rsidRPr="00DD5A50">
        <w:rPr>
          <w:b/>
          <w:lang w:val="en-US"/>
        </w:rPr>
        <w:t>References</w:t>
      </w:r>
    </w:p>
    <w:p w14:paraId="0EBF6EA6" w14:textId="77777777" w:rsidR="00DD5A50" w:rsidRDefault="00DD5A50" w:rsidP="002204C5">
      <w:pPr>
        <w:jc w:val="both"/>
        <w:rPr>
          <w:lang w:val="en-US"/>
        </w:rPr>
      </w:pPr>
    </w:p>
    <w:p w14:paraId="61048C8D" w14:textId="77777777" w:rsidR="00DD5A50" w:rsidRPr="00DD5A50" w:rsidRDefault="00DD5A50" w:rsidP="00DD5A50">
      <w:pPr>
        <w:widowControl w:val="0"/>
        <w:autoSpaceDE w:val="0"/>
        <w:autoSpaceDN w:val="0"/>
        <w:adjustRightInd w:val="0"/>
        <w:ind w:left="640" w:hanging="640"/>
        <w:rPr>
          <w:noProof/>
        </w:rPr>
      </w:pPr>
      <w:r>
        <w:rPr>
          <w:lang w:val="en-US"/>
        </w:rPr>
        <w:lastRenderedPageBreak/>
        <w:fldChar w:fldCharType="begin" w:fldLock="1"/>
      </w:r>
      <w:r>
        <w:rPr>
          <w:lang w:val="en-US"/>
        </w:rPr>
        <w:instrText xml:space="preserve">ADDIN Mendeley Bibliography CSL_BIBLIOGRAPHY </w:instrText>
      </w:r>
      <w:r>
        <w:rPr>
          <w:lang w:val="en-US"/>
        </w:rPr>
        <w:fldChar w:fldCharType="separate"/>
      </w:r>
      <w:r w:rsidRPr="00DD5A50">
        <w:rPr>
          <w:rFonts w:eastAsia="Times New Roman"/>
          <w:noProof/>
          <w:lang w:val="en-US"/>
        </w:rPr>
        <w:t xml:space="preserve">1. </w:t>
      </w:r>
      <w:r w:rsidRPr="00DD5A50">
        <w:rPr>
          <w:rFonts w:eastAsia="Times New Roman"/>
          <w:noProof/>
          <w:lang w:val="en-US"/>
        </w:rPr>
        <w:tab/>
        <w:t xml:space="preserve">Bruns DE, Knowler WC. Stabilization of Glucose in Blood Samples: Why It Matters. </w:t>
      </w:r>
      <w:r w:rsidRPr="00DD5A50">
        <w:rPr>
          <w:rFonts w:eastAsia="Times New Roman"/>
          <w:i/>
          <w:iCs/>
          <w:noProof/>
        </w:rPr>
        <w:t>Clin Chem</w:t>
      </w:r>
      <w:r w:rsidRPr="00DD5A50">
        <w:rPr>
          <w:rFonts w:eastAsia="Times New Roman"/>
          <w:noProof/>
        </w:rPr>
        <w:t xml:space="preserve"> 2009;55:850–852.</w:t>
      </w:r>
    </w:p>
    <w:p w14:paraId="0690EA8C" w14:textId="77777777" w:rsidR="00DD5A50" w:rsidRPr="00BB6915" w:rsidRDefault="00DD5A50" w:rsidP="002204C5">
      <w:pPr>
        <w:jc w:val="both"/>
        <w:rPr>
          <w:lang w:val="en-US"/>
        </w:rPr>
      </w:pPr>
      <w:r>
        <w:rPr>
          <w:lang w:val="en-US"/>
        </w:rPr>
        <w:fldChar w:fldCharType="end"/>
      </w:r>
    </w:p>
    <w:sectPr w:rsidR="00DD5A50" w:rsidRPr="00BB6915" w:rsidSect="002F2064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2B8645C" w14:textId="77777777" w:rsidR="00FB004E" w:rsidRDefault="00FB004E" w:rsidP="000568D5">
      <w:r>
        <w:separator/>
      </w:r>
    </w:p>
  </w:endnote>
  <w:endnote w:type="continuationSeparator" w:id="0">
    <w:p w14:paraId="3C538BD7" w14:textId="77777777" w:rsidR="00FB004E" w:rsidRDefault="00FB004E" w:rsidP="000568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Lucida Grande">
    <w:altName w:val="Times New Roman"/>
    <w:charset w:val="00"/>
    <w:family w:val="auto"/>
    <w:pitch w:val="variable"/>
    <w:sig w:usb0="00000000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Yu Gothic Light">
    <w:charset w:val="80"/>
    <w:family w:val="auto"/>
    <w:pitch w:val="variable"/>
    <w:sig w:usb0="E00002FF" w:usb1="2AC7FDFF" w:usb2="00000016" w:usb3="00000000" w:csb0="0002009F" w:csb1="00000000"/>
  </w:font>
  <w:font w:name="Yu Mincho">
    <w:charset w:val="80"/>
    <w:family w:val="auto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F904992" w14:textId="77777777" w:rsidR="00FB004E" w:rsidRDefault="00FB004E" w:rsidP="000568D5">
      <w:r>
        <w:separator/>
      </w:r>
    </w:p>
  </w:footnote>
  <w:footnote w:type="continuationSeparator" w:id="0">
    <w:p w14:paraId="277BEDEC" w14:textId="77777777" w:rsidR="00FB004E" w:rsidRDefault="00FB004E" w:rsidP="000568D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897F50"/>
    <w:multiLevelType w:val="hybridMultilevel"/>
    <w:tmpl w:val="07A0FB12"/>
    <w:lvl w:ilvl="0" w:tplc="04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68D5"/>
    <w:rsid w:val="0000331E"/>
    <w:rsid w:val="00036FAC"/>
    <w:rsid w:val="000568D5"/>
    <w:rsid w:val="00066763"/>
    <w:rsid w:val="000B6DD9"/>
    <w:rsid w:val="000F673C"/>
    <w:rsid w:val="001471FD"/>
    <w:rsid w:val="00171CCF"/>
    <w:rsid w:val="00173A08"/>
    <w:rsid w:val="00182035"/>
    <w:rsid w:val="00184E70"/>
    <w:rsid w:val="002204C5"/>
    <w:rsid w:val="002F2064"/>
    <w:rsid w:val="003840A9"/>
    <w:rsid w:val="003B44D6"/>
    <w:rsid w:val="003E5988"/>
    <w:rsid w:val="00402156"/>
    <w:rsid w:val="00405A01"/>
    <w:rsid w:val="004739F6"/>
    <w:rsid w:val="00485452"/>
    <w:rsid w:val="004F38DD"/>
    <w:rsid w:val="00530571"/>
    <w:rsid w:val="005345EB"/>
    <w:rsid w:val="005551EC"/>
    <w:rsid w:val="0059621A"/>
    <w:rsid w:val="005E71C2"/>
    <w:rsid w:val="0060571A"/>
    <w:rsid w:val="006258FB"/>
    <w:rsid w:val="00635799"/>
    <w:rsid w:val="00656507"/>
    <w:rsid w:val="00660941"/>
    <w:rsid w:val="00664E7F"/>
    <w:rsid w:val="00670A30"/>
    <w:rsid w:val="006A6F71"/>
    <w:rsid w:val="006E0079"/>
    <w:rsid w:val="007147C8"/>
    <w:rsid w:val="007200EF"/>
    <w:rsid w:val="007304BF"/>
    <w:rsid w:val="007B1676"/>
    <w:rsid w:val="007C0A35"/>
    <w:rsid w:val="008A7D1A"/>
    <w:rsid w:val="008C7E65"/>
    <w:rsid w:val="008E1F69"/>
    <w:rsid w:val="00901CC1"/>
    <w:rsid w:val="00911F79"/>
    <w:rsid w:val="00971C41"/>
    <w:rsid w:val="009C2E85"/>
    <w:rsid w:val="00A16879"/>
    <w:rsid w:val="00A265EC"/>
    <w:rsid w:val="00A46B3E"/>
    <w:rsid w:val="00A57488"/>
    <w:rsid w:val="00AE0890"/>
    <w:rsid w:val="00AE3385"/>
    <w:rsid w:val="00B0752F"/>
    <w:rsid w:val="00B34F45"/>
    <w:rsid w:val="00BB6915"/>
    <w:rsid w:val="00BB7788"/>
    <w:rsid w:val="00C02E12"/>
    <w:rsid w:val="00C04951"/>
    <w:rsid w:val="00C30F85"/>
    <w:rsid w:val="00C75230"/>
    <w:rsid w:val="00D13420"/>
    <w:rsid w:val="00DA6248"/>
    <w:rsid w:val="00DC0C6D"/>
    <w:rsid w:val="00DD5A50"/>
    <w:rsid w:val="00E35C60"/>
    <w:rsid w:val="00EE490A"/>
    <w:rsid w:val="00F07C49"/>
    <w:rsid w:val="00F27976"/>
    <w:rsid w:val="00FB004E"/>
    <w:rsid w:val="00FC5B31"/>
    <w:rsid w:val="00FD43F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_trad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53A4ECB0"/>
  <w14:defaultImageDpi w14:val="32767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es-ES_tradnl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04951"/>
    <w:rPr>
      <w:rFonts w:ascii="Times New Roman" w:hAnsi="Times New Roman" w:cs="Times New Roman"/>
      <w:lang w:eastAsia="es-ES_tradnl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Prrafodelista">
    <w:name w:val="List Paragraph"/>
    <w:basedOn w:val="Normal"/>
    <w:uiPriority w:val="34"/>
    <w:qFormat/>
    <w:rsid w:val="00F07C49"/>
    <w:pPr>
      <w:ind w:left="720"/>
      <w:contextualSpacing/>
    </w:pPr>
    <w:rPr>
      <w:rFonts w:asciiTheme="minorHAnsi" w:hAnsiTheme="minorHAnsi" w:cstheme="minorBidi"/>
      <w:lang w:eastAsia="en-US"/>
    </w:rPr>
  </w:style>
  <w:style w:type="character" w:customStyle="1" w:styleId="apple-converted-space">
    <w:name w:val="apple-converted-space"/>
    <w:basedOn w:val="Fuentedeprrafopredeter"/>
    <w:rsid w:val="00901CC1"/>
  </w:style>
  <w:style w:type="paragraph" w:styleId="Encabezado">
    <w:name w:val="header"/>
    <w:basedOn w:val="Normal"/>
    <w:link w:val="EncabezadoCar"/>
    <w:uiPriority w:val="99"/>
    <w:unhideWhenUsed/>
    <w:rsid w:val="002204C5"/>
    <w:pPr>
      <w:tabs>
        <w:tab w:val="center" w:pos="4419"/>
        <w:tab w:val="right" w:pos="8838"/>
      </w:tabs>
    </w:pPr>
    <w:rPr>
      <w:rFonts w:asciiTheme="minorHAnsi" w:hAnsiTheme="minorHAnsi" w:cstheme="minorBidi"/>
      <w:lang w:eastAsia="en-US"/>
    </w:rPr>
  </w:style>
  <w:style w:type="character" w:customStyle="1" w:styleId="EncabezadoCar">
    <w:name w:val="Encabezado Car"/>
    <w:basedOn w:val="Fuentedeprrafopredeter"/>
    <w:link w:val="Encabezado"/>
    <w:uiPriority w:val="99"/>
    <w:rsid w:val="002204C5"/>
  </w:style>
  <w:style w:type="paragraph" w:styleId="Piedepgina">
    <w:name w:val="footer"/>
    <w:basedOn w:val="Normal"/>
    <w:link w:val="PiedepginaCar"/>
    <w:uiPriority w:val="99"/>
    <w:unhideWhenUsed/>
    <w:rsid w:val="002204C5"/>
    <w:pPr>
      <w:tabs>
        <w:tab w:val="center" w:pos="4419"/>
        <w:tab w:val="right" w:pos="8838"/>
      </w:tabs>
    </w:pPr>
    <w:rPr>
      <w:rFonts w:asciiTheme="minorHAnsi" w:hAnsiTheme="minorHAnsi" w:cstheme="minorBidi"/>
      <w:lang w:eastAsia="en-US"/>
    </w:rPr>
  </w:style>
  <w:style w:type="character" w:customStyle="1" w:styleId="PiedepginaCar">
    <w:name w:val="Pie de página Car"/>
    <w:basedOn w:val="Fuentedeprrafopredeter"/>
    <w:link w:val="Piedepgina"/>
    <w:uiPriority w:val="99"/>
    <w:rsid w:val="002204C5"/>
  </w:style>
  <w:style w:type="paragraph" w:styleId="Textodeglobo">
    <w:name w:val="Balloon Text"/>
    <w:basedOn w:val="Normal"/>
    <w:link w:val="TextodegloboCar"/>
    <w:uiPriority w:val="99"/>
    <w:semiHidden/>
    <w:unhideWhenUsed/>
    <w:rsid w:val="00C30F85"/>
    <w:rPr>
      <w:rFonts w:ascii="Lucida Grande" w:hAnsi="Lucida Grande" w:cs="Lucida Grande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0F85"/>
    <w:rPr>
      <w:rFonts w:ascii="Lucida Grande" w:hAnsi="Lucida Grande" w:cs="Lucida Grande"/>
      <w:sz w:val="18"/>
      <w:szCs w:val="18"/>
      <w:lang w:eastAsia="es-ES_tradnl"/>
    </w:rPr>
  </w:style>
  <w:style w:type="character" w:styleId="Refdecomentario">
    <w:name w:val="annotation reference"/>
    <w:basedOn w:val="Fuentedeprrafopredeter"/>
    <w:uiPriority w:val="99"/>
    <w:semiHidden/>
    <w:unhideWhenUsed/>
    <w:rsid w:val="00EE490A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EE490A"/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EE490A"/>
    <w:rPr>
      <w:rFonts w:ascii="Times New Roman" w:hAnsi="Times New Roman" w:cs="Times New Roman"/>
      <w:lang w:eastAsia="es-ES_tradnl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EE490A"/>
    <w:rPr>
      <w:b/>
      <w:bCs/>
      <w:sz w:val="20"/>
      <w:szCs w:val="20"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EE490A"/>
    <w:rPr>
      <w:rFonts w:ascii="Times New Roman" w:hAnsi="Times New Roman" w:cs="Times New Roman"/>
      <w:b/>
      <w:bCs/>
      <w:sz w:val="20"/>
      <w:szCs w:val="20"/>
      <w:lang w:eastAsia="es-ES_tradn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3620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46303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067329">
              <w:marLeft w:val="0"/>
              <w:marRight w:val="6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38793388">
                  <w:marLeft w:val="0"/>
                  <w:marRight w:val="0"/>
                  <w:marTop w:val="0"/>
                  <w:marBottom w:val="120"/>
                  <w:divBdr>
                    <w:top w:val="single" w:sz="6" w:space="0" w:color="C0C0C0"/>
                    <w:left w:val="single" w:sz="6" w:space="0" w:color="D9D9D9"/>
                    <w:bottom w:val="single" w:sz="6" w:space="0" w:color="D9D9D9"/>
                    <w:right w:val="single" w:sz="6" w:space="0" w:color="D9D9D9"/>
                  </w:divBdr>
                  <w:divsChild>
                    <w:div w:id="15249054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27630027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386875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49982272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96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831478">
                      <w:marLeft w:val="0"/>
                      <w:marRight w:val="0"/>
                      <w:marTop w:val="0"/>
                      <w:marBottom w:val="120"/>
                      <w:divBdr>
                        <w:top w:val="single" w:sz="6" w:space="0" w:color="F5F5F5"/>
                        <w:left w:val="single" w:sz="6" w:space="0" w:color="F5F5F5"/>
                        <w:bottom w:val="single" w:sz="6" w:space="0" w:color="F5F5F5"/>
                        <w:right w:val="single" w:sz="6" w:space="0" w:color="F5F5F5"/>
                      </w:divBdr>
                      <w:divsChild>
                        <w:div w:id="14167104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04766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62419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hart" Target="charts/chart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Volumes\TOSHIBA%20EXT\Proyectos\glucosas%20con%20correccion%202016\reporte%20oficial%20para%20la%20correccio&#769;n.xlsx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s-ES"/>
  <c:roundedCorners val="0"/>
  <mc:AlternateContent xmlns:mc="http://schemas.openxmlformats.org/markup-compatibility/2006">
    <mc:Choice xmlns:c14="http://schemas.microsoft.com/office/drawing/2007/8/2/chart" Requires="c14">
      <c14:style val="117"/>
    </mc:Choice>
    <mc:Fallback>
      <c:style val="17"/>
    </mc:Fallback>
  </mc:AlternateContent>
  <c:chart>
    <c:title>
      <c:tx>
        <c:rich>
          <a:bodyPr/>
          <a:lstStyle/>
          <a:p>
            <a:pPr>
              <a:defRPr sz="1000"/>
            </a:pPr>
            <a:r>
              <a:rPr lang="es-ES" sz="1000"/>
              <a:t>Figure 1: Glucose distribution by age-groups 2006-2012 with no previous diagnosis of diabetes</a:t>
            </a:r>
          </a:p>
        </c:rich>
      </c:tx>
      <c:overlay val="0"/>
    </c:title>
    <c:autoTitleDeleted val="0"/>
    <c:plotArea>
      <c:layout>
        <c:manualLayout>
          <c:layoutTarget val="inner"/>
          <c:xMode val="edge"/>
          <c:yMode val="edge"/>
          <c:x val="0.119214149106635"/>
          <c:y val="0.15578093306287999"/>
          <c:w val="0.85242285359844205"/>
          <c:h val="0.73310557608870297"/>
        </c:manualLayout>
      </c:layout>
      <c:lineChart>
        <c:grouping val="standard"/>
        <c:varyColors val="0"/>
        <c:ser>
          <c:idx val="0"/>
          <c:order val="0"/>
          <c:tx>
            <c:strRef>
              <c:f>Descriptivo!$A$41</c:f>
              <c:strCache>
                <c:ptCount val="1"/>
                <c:pt idx="0">
                  <c:v>2006</c:v>
                </c:pt>
              </c:strCache>
            </c:strRef>
          </c:tx>
          <c:spPr>
            <a:ln w="28575" cmpd="sng"/>
          </c:spPr>
          <c:marker>
            <c:symbol val="none"/>
          </c:marker>
          <c:cat>
            <c:strRef>
              <c:f>Descriptivo!$B$10:$G$10</c:f>
              <c:strCache>
                <c:ptCount val="6"/>
                <c:pt idx="0">
                  <c:v>&lt;30</c:v>
                </c:pt>
                <c:pt idx="1">
                  <c:v>30-39</c:v>
                </c:pt>
                <c:pt idx="2">
                  <c:v>40-49</c:v>
                </c:pt>
                <c:pt idx="3">
                  <c:v>50-59</c:v>
                </c:pt>
                <c:pt idx="4">
                  <c:v>60-69</c:v>
                </c:pt>
                <c:pt idx="5">
                  <c:v>70+</c:v>
                </c:pt>
              </c:strCache>
            </c:strRef>
          </c:cat>
          <c:val>
            <c:numRef>
              <c:f>Descriptivo!$B$41:$G$41</c:f>
              <c:numCache>
                <c:formatCode>General</c:formatCode>
                <c:ptCount val="6"/>
                <c:pt idx="0">
                  <c:v>90.784639999999996</c:v>
                </c:pt>
                <c:pt idx="1">
                  <c:v>96.932169999999999</c:v>
                </c:pt>
                <c:pt idx="2">
                  <c:v>102.0638</c:v>
                </c:pt>
                <c:pt idx="3">
                  <c:v>115.82550000000001</c:v>
                </c:pt>
                <c:pt idx="4">
                  <c:v>110.1041</c:v>
                </c:pt>
                <c:pt idx="5">
                  <c:v>101.80070000000001</c:v>
                </c:pt>
              </c:numCache>
            </c:numRef>
          </c:val>
          <c:smooth val="0"/>
        </c:ser>
        <c:ser>
          <c:idx val="1"/>
          <c:order val="1"/>
          <c:tx>
            <c:strRef>
              <c:f>Descriptivo!$A$42</c:f>
              <c:strCache>
                <c:ptCount val="1"/>
                <c:pt idx="0">
                  <c:v>2012</c:v>
                </c:pt>
              </c:strCache>
            </c:strRef>
          </c:tx>
          <c:spPr>
            <a:ln w="28575" cmpd="sng"/>
          </c:spPr>
          <c:marker>
            <c:symbol val="none"/>
          </c:marker>
          <c:cat>
            <c:strRef>
              <c:f>Descriptivo!$B$10:$G$10</c:f>
              <c:strCache>
                <c:ptCount val="6"/>
                <c:pt idx="0">
                  <c:v>&lt;30</c:v>
                </c:pt>
                <c:pt idx="1">
                  <c:v>30-39</c:v>
                </c:pt>
                <c:pt idx="2">
                  <c:v>40-49</c:v>
                </c:pt>
                <c:pt idx="3">
                  <c:v>50-59</c:v>
                </c:pt>
                <c:pt idx="4">
                  <c:v>60-69</c:v>
                </c:pt>
                <c:pt idx="5">
                  <c:v>70+</c:v>
                </c:pt>
              </c:strCache>
            </c:strRef>
          </c:cat>
          <c:val>
            <c:numRef>
              <c:f>Descriptivo!$B$42:$G$42</c:f>
              <c:numCache>
                <c:formatCode>General</c:formatCode>
                <c:ptCount val="6"/>
                <c:pt idx="0">
                  <c:v>81.237219999999994</c:v>
                </c:pt>
                <c:pt idx="1">
                  <c:v>86.310159999999996</c:v>
                </c:pt>
                <c:pt idx="2">
                  <c:v>93.319479999999999</c:v>
                </c:pt>
                <c:pt idx="3">
                  <c:v>96.386009999999999</c:v>
                </c:pt>
                <c:pt idx="4">
                  <c:v>91.279110000000003</c:v>
                </c:pt>
                <c:pt idx="5">
                  <c:v>93.194739999999996</c:v>
                </c:pt>
              </c:numCache>
            </c:numRef>
          </c:val>
          <c:smooth val="0"/>
        </c:ser>
        <c:ser>
          <c:idx val="2"/>
          <c:order val="2"/>
          <c:tx>
            <c:strRef>
              <c:f>Descriptivo!$A$43</c:f>
              <c:strCache>
                <c:ptCount val="1"/>
                <c:pt idx="0">
                  <c:v>Bias</c:v>
                </c:pt>
              </c:strCache>
            </c:strRef>
          </c:tx>
          <c:spPr>
            <a:ln w="28575" cmpd="sng">
              <a:prstDash val="sysDot"/>
            </a:ln>
          </c:spPr>
          <c:marker>
            <c:symbol val="none"/>
          </c:marker>
          <c:cat>
            <c:strRef>
              <c:f>Descriptivo!$B$10:$G$10</c:f>
              <c:strCache>
                <c:ptCount val="6"/>
                <c:pt idx="0">
                  <c:v>&lt;30</c:v>
                </c:pt>
                <c:pt idx="1">
                  <c:v>30-39</c:v>
                </c:pt>
                <c:pt idx="2">
                  <c:v>40-49</c:v>
                </c:pt>
                <c:pt idx="3">
                  <c:v>50-59</c:v>
                </c:pt>
                <c:pt idx="4">
                  <c:v>60-69</c:v>
                </c:pt>
                <c:pt idx="5">
                  <c:v>70+</c:v>
                </c:pt>
              </c:strCache>
            </c:strRef>
          </c:cat>
          <c:val>
            <c:numRef>
              <c:f>Descriptivo!$B$43:$G$43</c:f>
              <c:numCache>
                <c:formatCode>0</c:formatCode>
                <c:ptCount val="6"/>
                <c:pt idx="0">
                  <c:v>80.784639999999996</c:v>
                </c:pt>
                <c:pt idx="1">
                  <c:v>86.932169999999999</c:v>
                </c:pt>
                <c:pt idx="2">
                  <c:v>92.063800000000001</c:v>
                </c:pt>
                <c:pt idx="3">
                  <c:v>105.82550000000001</c:v>
                </c:pt>
                <c:pt idx="4">
                  <c:v>100.1041</c:v>
                </c:pt>
                <c:pt idx="5">
                  <c:v>91.800700000000006</c:v>
                </c:pt>
              </c:numCache>
            </c:numRef>
          </c:val>
          <c:smooth val="0"/>
        </c:ser>
        <c:dLbls>
          <c:showLegendKey val="0"/>
          <c:showVal val="0"/>
          <c:showCatName val="0"/>
          <c:showSerName val="0"/>
          <c:showPercent val="0"/>
          <c:showBubbleSize val="0"/>
        </c:dLbls>
        <c:smooth val="0"/>
        <c:axId val="361252752"/>
        <c:axId val="339193912"/>
      </c:lineChart>
      <c:catAx>
        <c:axId val="361252752"/>
        <c:scaling>
          <c:orientation val="minMax"/>
        </c:scaling>
        <c:delete val="0"/>
        <c:axPos val="b"/>
        <c:numFmt formatCode="General" sourceLinked="0"/>
        <c:majorTickMark val="in"/>
        <c:minorTickMark val="none"/>
        <c:tickLblPos val="nextTo"/>
        <c:crossAx val="339193912"/>
        <c:crosses val="autoZero"/>
        <c:auto val="1"/>
        <c:lblAlgn val="ctr"/>
        <c:lblOffset val="100"/>
        <c:noMultiLvlLbl val="0"/>
      </c:catAx>
      <c:valAx>
        <c:axId val="339193912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/>
                </a:pPr>
                <a:r>
                  <a:rPr lang="es-ES"/>
                  <a:t>Glucose (mg/dl)</a:t>
                </a:r>
              </a:p>
            </c:rich>
          </c:tx>
          <c:overlay val="0"/>
        </c:title>
        <c:numFmt formatCode="General" sourceLinked="1"/>
        <c:majorTickMark val="none"/>
        <c:minorTickMark val="none"/>
        <c:tickLblPos val="nextTo"/>
        <c:crossAx val="361252752"/>
        <c:crosses val="autoZero"/>
        <c:crossBetween val="between"/>
      </c:valAx>
    </c:plotArea>
    <c:legend>
      <c:legendPos val="r"/>
      <c:layout>
        <c:manualLayout>
          <c:xMode val="edge"/>
          <c:yMode val="edge"/>
          <c:x val="0.82472902989815799"/>
          <c:y val="0.61585087578338404"/>
          <c:w val="0.153941050767187"/>
          <c:h val="0.23172592368261699"/>
        </c:manualLayout>
      </c:layout>
      <c:overlay val="0"/>
    </c:legend>
    <c:plotVisOnly val="1"/>
    <c:dispBlanksAs val="gap"/>
    <c:showDLblsOverMax val="0"/>
  </c:chart>
  <c:spPr>
    <a:ln>
      <a:noFill/>
    </a:ln>
  </c:spPr>
  <c:txPr>
    <a:bodyPr/>
    <a:lstStyle/>
    <a:p>
      <a:pPr>
        <a:defRPr sz="900"/>
      </a:pPr>
      <a:endParaRPr lang="es-MX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/>
</file>

<file path=customXml/itemProps1.xml><?xml version="1.0" encoding="utf-8"?>
<ds:datastoreItem xmlns:ds="http://schemas.openxmlformats.org/officeDocument/2006/customXml" ds:itemID="{AE07D601-D103-4F98-861C-C42D2F8F24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935</Words>
  <Characters>5143</Characters>
  <Application>Microsoft Office Word</Application>
  <DocSecurity>0</DocSecurity>
  <Lines>42</Lines>
  <Paragraphs>12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6066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Ana Abreu</dc:creator>
  <cp:keywords/>
  <dc:description/>
  <cp:lastModifiedBy>Salvador Villalpando</cp:lastModifiedBy>
  <cp:revision>3</cp:revision>
  <dcterms:created xsi:type="dcterms:W3CDTF">2017-06-06T16:45:00Z</dcterms:created>
  <dcterms:modified xsi:type="dcterms:W3CDTF">2017-06-06T16:47:00Z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endeley Recent Style Id 0_1">
    <vt:lpwstr>http://www.zotero.org/styles/american-political-science-association</vt:lpwstr>
  </property>
  <property fmtid="{D5CDD505-2E9C-101B-9397-08002B2CF9AE}" pid="3" name="Mendeley Recent Style Name 0_1">
    <vt:lpwstr>American Political Science Association</vt:lpwstr>
  </property>
  <property fmtid="{D5CDD505-2E9C-101B-9397-08002B2CF9AE}" pid="4" name="Mendeley Recent Style Id 1_1">
    <vt:lpwstr>http://www.zotero.org/styles/apa</vt:lpwstr>
  </property>
  <property fmtid="{D5CDD505-2E9C-101B-9397-08002B2CF9AE}" pid="5" name="Mendeley Recent Style Name 1_1">
    <vt:lpwstr>American Psychological Association 6th edition</vt:lpwstr>
  </property>
  <property fmtid="{D5CDD505-2E9C-101B-9397-08002B2CF9AE}" pid="6" name="Mendeley Recent Style Id 2_1">
    <vt:lpwstr>http://www.zotero.org/styles/american-sociological-association</vt:lpwstr>
  </property>
  <property fmtid="{D5CDD505-2E9C-101B-9397-08002B2CF9AE}" pid="7" name="Mendeley Recent Style Name 2_1">
    <vt:lpwstr>American Sociological Association</vt:lpwstr>
  </property>
  <property fmtid="{D5CDD505-2E9C-101B-9397-08002B2CF9AE}" pid="8" name="Mendeley Recent Style Id 3_1">
    <vt:lpwstr>http://www.zotero.org/styles/chicago-author-date</vt:lpwstr>
  </property>
  <property fmtid="{D5CDD505-2E9C-101B-9397-08002B2CF9AE}" pid="9" name="Mendeley Recent Style Name 3_1">
    <vt:lpwstr>Chicago Manual of Style 16th edition (author-date)</vt:lpwstr>
  </property>
  <property fmtid="{D5CDD505-2E9C-101B-9397-08002B2CF9AE}" pid="10" name="Mendeley Recent Style Id 4_1">
    <vt:lpwstr>http://www.zotero.org/styles/harvard1</vt:lpwstr>
  </property>
  <property fmtid="{D5CDD505-2E9C-101B-9397-08002B2CF9AE}" pid="11" name="Mendeley Recent Style Name 4_1">
    <vt:lpwstr>Harvard reference format 1 (deprecated)</vt:lpwstr>
  </property>
  <property fmtid="{D5CDD505-2E9C-101B-9397-08002B2CF9AE}" pid="12" name="Mendeley Recent Style Id 5_1">
    <vt:lpwstr>http://www.zotero.org/styles/ieee</vt:lpwstr>
  </property>
  <property fmtid="{D5CDD505-2E9C-101B-9397-08002B2CF9AE}" pid="13" name="Mendeley Recent Style Name 5_1">
    <vt:lpwstr>IEEE</vt:lpwstr>
  </property>
  <property fmtid="{D5CDD505-2E9C-101B-9397-08002B2CF9AE}" pid="14" name="Mendeley Recent Style Id 6_1">
    <vt:lpwstr>http://www.zotero.org/styles/modern-humanities-research-association</vt:lpwstr>
  </property>
  <property fmtid="{D5CDD505-2E9C-101B-9397-08002B2CF9AE}" pid="15" name="Mendeley Recent Style Name 6_1">
    <vt:lpwstr>Modern Humanities Research Association 3rd edition (note with bibliography)</vt:lpwstr>
  </property>
  <property fmtid="{D5CDD505-2E9C-101B-9397-08002B2CF9AE}" pid="16" name="Mendeley Recent Style Id 7_1">
    <vt:lpwstr>http://www.zotero.org/styles/modern-language-association</vt:lpwstr>
  </property>
  <property fmtid="{D5CDD505-2E9C-101B-9397-08002B2CF9AE}" pid="17" name="Mendeley Recent Style Name 7_1">
    <vt:lpwstr>Modern Language Association 7th edition</vt:lpwstr>
  </property>
  <property fmtid="{D5CDD505-2E9C-101B-9397-08002B2CF9AE}" pid="18" name="Mendeley Recent Style Id 8_1">
    <vt:lpwstr>http://www.zotero.org/styles/nature</vt:lpwstr>
  </property>
  <property fmtid="{D5CDD505-2E9C-101B-9397-08002B2CF9AE}" pid="19" name="Mendeley Recent Style Name 8_1">
    <vt:lpwstr>Nature</vt:lpwstr>
  </property>
  <property fmtid="{D5CDD505-2E9C-101B-9397-08002B2CF9AE}" pid="20" name="Mendeley Recent Style Id 9_1">
    <vt:lpwstr>http://www.zotero.org/styles/obesity</vt:lpwstr>
  </property>
  <property fmtid="{D5CDD505-2E9C-101B-9397-08002B2CF9AE}" pid="21" name="Mendeley Recent Style Name 9_1">
    <vt:lpwstr>Obesity</vt:lpwstr>
  </property>
  <property fmtid="{D5CDD505-2E9C-101B-9397-08002B2CF9AE}" pid="22" name="Mendeley Document_1">
    <vt:lpwstr>True</vt:lpwstr>
  </property>
  <property fmtid="{D5CDD505-2E9C-101B-9397-08002B2CF9AE}" pid="23" name="Mendeley Unique User Id_1">
    <vt:lpwstr>86475cc6-b236-3fc9-8f7f-0f0c164d7f72</vt:lpwstr>
  </property>
  <property fmtid="{D5CDD505-2E9C-101B-9397-08002B2CF9AE}" pid="24" name="Mendeley Citation Style_1">
    <vt:lpwstr>http://www.zotero.org/styles/obesity</vt:lpwstr>
  </property>
</Properties>
</file>